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6A47" w:rsidRDefault="005B6A47" w:rsidP="005B6A47">
      <w:pPr>
        <w:pStyle w:val="Heading1"/>
      </w:pPr>
      <w:r>
        <w:t>Unilateral CP packet KY updates</w:t>
      </w:r>
    </w:p>
    <w:p w:rsidR="00C62FB4" w:rsidRDefault="00C62FB4" w:rsidP="00022DD7">
      <w:pPr>
        <w:pStyle w:val="Heading3"/>
      </w:pPr>
      <w:r>
        <w:lastRenderedPageBreak/>
        <w:t>SSA</w:t>
      </w:r>
    </w:p>
    <w:p w:rsidR="00022DD7" w:rsidRPr="00022DD7" w:rsidRDefault="00022DD7" w:rsidP="00022DD7"/>
    <w:p w:rsidR="00C62FB4" w:rsidRDefault="00C62FB4" w:rsidP="00C62FB4">
      <w:pPr>
        <w:pStyle w:val="Heading4"/>
      </w:pPr>
      <w:r>
        <w:t>CP solves better – cooperation takes to long</w:t>
      </w:r>
    </w:p>
    <w:p w:rsidR="00C62FB4" w:rsidRDefault="00C62FB4" w:rsidP="00C62FB4">
      <w:r w:rsidRPr="001F4B57">
        <w:rPr>
          <w:rStyle w:val="Style13ptBold"/>
        </w:rPr>
        <w:t>Rose 18</w:t>
      </w:r>
      <w:r>
        <w:t xml:space="preserve"> [Frank A., senior fellow for security and strategy in Foreign Policy at the Brookings Institution, former assistant secretary of state for Arms Control, master’s degree in war studies from King’s College in London, “SAFEGUARDING THE HEAVENS: THE UNITED STATES AND THE FUTURE OF NORMS OF BEHAVIOR IN OUTER SPACE”, Foreign Policy at Brookings Policy Brief, June, </w:t>
      </w:r>
      <w:hyperlink r:id="rId6" w:history="1">
        <w:r w:rsidRPr="00285713">
          <w:rPr>
            <w:rStyle w:val="Hyperlink"/>
          </w:rPr>
          <w:t>https://www.brookings.edu/wp-content/uploads/2018/06/FP_20180614_safeguarding_the_heavens.pdf</w:t>
        </w:r>
      </w:hyperlink>
      <w:r>
        <w:t>] **ADA Novice Packet 2019**</w:t>
      </w:r>
    </w:p>
    <w:p w:rsidR="00C62FB4" w:rsidRDefault="00C62FB4" w:rsidP="00C62FB4">
      <w:r>
        <w:t>First, non-</w:t>
      </w:r>
      <w:r w:rsidRPr="00805142">
        <w:rPr>
          <w:rStyle w:val="StyleUnderline"/>
        </w:rPr>
        <w:t>legally binding approaches appear to be the most practical method for developing norms of behavior for outer space</w:t>
      </w:r>
      <w:r>
        <w:t xml:space="preserve">. </w:t>
      </w:r>
      <w:r w:rsidRPr="00C62FB4">
        <w:rPr>
          <w:rStyle w:val="StyleUnderline"/>
        </w:rPr>
        <w:t>Looking back, the most successful norm-building initiatives over the last decade have been non-legally binding measures</w:t>
      </w:r>
      <w:r>
        <w:t xml:space="preserve">. Even though these norms aren’t legally binding, that has not prohibited nations from incorporating them into their domestic laws and regulations. </w:t>
      </w:r>
      <w:r w:rsidRPr="00805142">
        <w:rPr>
          <w:rStyle w:val="StyleUnderline"/>
        </w:rPr>
        <w:t>Let’s be honest: it is extremely difficult and time-consuming to negotiate and ratify legally binding instruments. With the rapidly changing nature of the space environment, it’s unlikely that the international community has the luxury of time on its side to wait for the negotiation and ratification of new legally binding agreements.</w:t>
      </w:r>
    </w:p>
    <w:p w:rsidR="00C62FB4" w:rsidRDefault="00C62FB4" w:rsidP="00C62FB4"/>
    <w:p w:rsidR="00C62FB4" w:rsidRDefault="00C62FB4" w:rsidP="00C62FB4">
      <w:pPr>
        <w:pStyle w:val="Heading4"/>
      </w:pPr>
      <w:r>
        <w:t>U.S. can take lead on providing best practices</w:t>
      </w:r>
    </w:p>
    <w:p w:rsidR="00AD66FB" w:rsidRPr="00AD66FB" w:rsidRDefault="00AD66FB" w:rsidP="00AD66FB">
      <w:r>
        <w:t>Pelton, J. N. (2019). A path forward to better space security: Finding new solutions to space debris, space situational awareness and space traffic management. Journal of Space Safety Engineering. doi:10.1016/j.jsse.2019.04.005  #tog **ADA Novice Packet 2019**</w:t>
      </w:r>
    </w:p>
    <w:p w:rsidR="00C62FB4" w:rsidRPr="00AD66FB" w:rsidRDefault="00C62FB4" w:rsidP="00C62FB4">
      <w:pPr>
        <w:rPr>
          <w:sz w:val="16"/>
          <w:szCs w:val="16"/>
        </w:rPr>
      </w:pPr>
      <w:r w:rsidRPr="00AD66FB">
        <w:rPr>
          <w:rStyle w:val="StyleUnderline"/>
        </w:rPr>
        <w:t>The United States is implementing improved S-Band radar systems</w:t>
      </w:r>
      <w:r w:rsidRPr="00AD66FB">
        <w:rPr>
          <w:sz w:val="16"/>
        </w:rPr>
        <w:t xml:space="preserve"> </w:t>
      </w:r>
      <w:r w:rsidRPr="00AD66FB">
        <w:rPr>
          <w:rStyle w:val="StyleUnderline"/>
        </w:rPr>
        <w:t>in the</w:t>
      </w:r>
      <w:r w:rsidRPr="00AD66FB">
        <w:rPr>
          <w:sz w:val="16"/>
        </w:rPr>
        <w:t xml:space="preserve"> Pacific Ocean </w:t>
      </w:r>
      <w:r w:rsidRPr="00AD66FB">
        <w:rPr>
          <w:rStyle w:val="StyleUnderline"/>
        </w:rPr>
        <w:t>region known as the space fence. Additional S-Band radar tracking systems might also be installed</w:t>
      </w:r>
      <w:r w:rsidRPr="00AD66FB">
        <w:rPr>
          <w:sz w:val="16"/>
        </w:rPr>
        <w:t xml:space="preserve"> in Australia. DARPA has also reached agreement to ship a new high performance optical tracking system to operate in Australia. </w:t>
      </w:r>
      <w:r w:rsidRPr="00AD66FB">
        <w:rPr>
          <w:rStyle w:val="StyleUnderline"/>
        </w:rPr>
        <w:t>This optical tracking system would better cover</w:t>
      </w:r>
      <w:r w:rsidRPr="00AD66FB">
        <w:rPr>
          <w:sz w:val="16"/>
        </w:rPr>
        <w:t xml:space="preserve"> Southern Hemisphere</w:t>
      </w:r>
      <w:r w:rsidRPr="00AD66FB">
        <w:rPr>
          <w:rStyle w:val="StyleUnderline"/>
        </w:rPr>
        <w:t xml:space="preserve"> debris tracking operations</w:t>
      </w:r>
      <w:r w:rsidRPr="00AD66FB">
        <w:rPr>
          <w:sz w:val="16"/>
        </w:rPr>
        <w:t xml:space="preserve">. Germany has developed a new radar system for debris tracking which involves a 34 m dish radar installed at the Research Establishment for Applied Science (FGAN) in Wachtberg, near Bonn, Germany. </w:t>
      </w:r>
      <w:r w:rsidRPr="00AD66FB">
        <w:rPr>
          <w:rStyle w:val="StyleUnderline"/>
        </w:rPr>
        <w:t>All of these increased capabilities will allow more precise space situational awareness</w:t>
      </w:r>
      <w:r w:rsidRPr="00AD66FB">
        <w:rPr>
          <w:sz w:val="16"/>
        </w:rPr>
        <w:t xml:space="preserve">, but the possibility of more On-Orbit Servicing and Rendezvous and Proximity Operation will require not only greater accuracy of orbital tracking to understand the nature of space objects coming together and whether this is an intentional or </w:t>
      </w:r>
      <w:r w:rsidRPr="00AD66FB">
        <w:rPr>
          <w:sz w:val="16"/>
          <w:szCs w:val="16"/>
        </w:rPr>
        <w:t>unintentional event and what is the actual nature of orbital conjunctions or near proximity events that occur.</w:t>
      </w:r>
    </w:p>
    <w:p w:rsidR="00C62FB4" w:rsidRPr="00AD66FB" w:rsidRDefault="00C62FB4" w:rsidP="00C62FB4">
      <w:pPr>
        <w:rPr>
          <w:sz w:val="16"/>
          <w:szCs w:val="16"/>
        </w:rPr>
      </w:pPr>
      <w:r w:rsidRPr="00AD66FB">
        <w:rPr>
          <w:sz w:val="16"/>
          <w:szCs w:val="16"/>
        </w:rPr>
        <w:t>There are many optical tracking systems that are being installed in</w:t>
      </w:r>
      <w:r w:rsidR="00AD66FB" w:rsidRPr="00AD66FB">
        <w:rPr>
          <w:sz w:val="16"/>
          <w:szCs w:val="16"/>
        </w:rPr>
        <w:t xml:space="preserve"> </w:t>
      </w:r>
      <w:r w:rsidRPr="00AD66FB">
        <w:rPr>
          <w:sz w:val="16"/>
          <w:szCs w:val="16"/>
        </w:rPr>
        <w:t>various locations.</w:t>
      </w:r>
    </w:p>
    <w:p w:rsidR="00C62FB4" w:rsidRPr="00AD66FB" w:rsidRDefault="00C62FB4" w:rsidP="00C62FB4">
      <w:pPr>
        <w:rPr>
          <w:sz w:val="16"/>
          <w:szCs w:val="16"/>
        </w:rPr>
      </w:pPr>
      <w:r w:rsidRPr="00AD66FB">
        <w:rPr>
          <w:sz w:val="16"/>
          <w:szCs w:val="16"/>
        </w:rPr>
        <w:t>The Space Data Association (SDA) that was started by Intelsat, SES</w:t>
      </w:r>
      <w:r w:rsidR="00AD66FB" w:rsidRPr="00AD66FB">
        <w:rPr>
          <w:sz w:val="16"/>
          <w:szCs w:val="16"/>
        </w:rPr>
        <w:t xml:space="preserve"> </w:t>
      </w:r>
      <w:r w:rsidRPr="00AD66FB">
        <w:rPr>
          <w:sz w:val="16"/>
          <w:szCs w:val="16"/>
        </w:rPr>
        <w:t>and Inmarsat has now developed increased capability to prevent conjunctions (i.e., collisions) using tracking information supplied by its</w:t>
      </w:r>
      <w:r w:rsidR="00AD66FB" w:rsidRPr="00AD66FB">
        <w:rPr>
          <w:sz w:val="16"/>
          <w:szCs w:val="16"/>
        </w:rPr>
        <w:t xml:space="preserve"> </w:t>
      </w:r>
      <w:r w:rsidRPr="00AD66FB">
        <w:rPr>
          <w:sz w:val="16"/>
          <w:szCs w:val="16"/>
        </w:rPr>
        <w:t>membership. As the membership of the SDA has now grown to over</w:t>
      </w:r>
      <w:r w:rsidR="00AD66FB" w:rsidRPr="00AD66FB">
        <w:rPr>
          <w:sz w:val="16"/>
          <w:szCs w:val="16"/>
        </w:rPr>
        <w:t xml:space="preserve"> </w:t>
      </w:r>
      <w:r w:rsidRPr="00AD66FB">
        <w:rPr>
          <w:sz w:val="16"/>
          <w:szCs w:val="16"/>
        </w:rPr>
        <w:t>twenty commercial organizations and space system operators its capabilities have expanded greatly. SDA's ManSat-based operations are</w:t>
      </w:r>
      <w:r w:rsidR="00AD66FB" w:rsidRPr="00AD66FB">
        <w:rPr>
          <w:sz w:val="16"/>
          <w:szCs w:val="16"/>
        </w:rPr>
        <w:t xml:space="preserve"> </w:t>
      </w:r>
      <w:r w:rsidRPr="00AD66FB">
        <w:rPr>
          <w:sz w:val="16"/>
          <w:szCs w:val="16"/>
        </w:rPr>
        <w:t>performed by Analytical Graphics Inc. (AGI) which provides the software and computer processing systems to help predict possible collisions.11 The number of private providers of space situational awareness</w:t>
      </w:r>
      <w:r w:rsidR="00AD66FB" w:rsidRPr="00AD66FB">
        <w:rPr>
          <w:sz w:val="16"/>
          <w:szCs w:val="16"/>
        </w:rPr>
        <w:t xml:space="preserve"> </w:t>
      </w:r>
      <w:r w:rsidRPr="00AD66FB">
        <w:rPr>
          <w:sz w:val="16"/>
          <w:szCs w:val="16"/>
        </w:rPr>
        <w:t>services, close approach alarms and potential RF interference alerts</w:t>
      </w:r>
      <w:r w:rsidR="00AD66FB" w:rsidRPr="00AD66FB">
        <w:rPr>
          <w:sz w:val="16"/>
          <w:szCs w:val="16"/>
        </w:rPr>
        <w:t xml:space="preserve"> </w:t>
      </w:r>
      <w:r w:rsidRPr="00AD66FB">
        <w:rPr>
          <w:sz w:val="16"/>
          <w:szCs w:val="16"/>
        </w:rPr>
        <w:t>continues to grow. Currently these providers, in addition to AGI, include ExoAnalytics, Rincon, Lockheed Martin, LeoLabs, Boeing, Schafer</w:t>
      </w:r>
      <w:r w:rsidR="00AD66FB" w:rsidRPr="00AD66FB">
        <w:rPr>
          <w:sz w:val="16"/>
          <w:szCs w:val="16"/>
        </w:rPr>
        <w:t xml:space="preserve"> </w:t>
      </w:r>
      <w:r w:rsidRPr="00AD66FB">
        <w:rPr>
          <w:sz w:val="16"/>
          <w:szCs w:val="16"/>
        </w:rPr>
        <w:t>Corp. and Applied Defense.12</w:t>
      </w:r>
    </w:p>
    <w:p w:rsidR="00C62FB4" w:rsidRPr="00AD66FB" w:rsidRDefault="00C62FB4" w:rsidP="00C62FB4">
      <w:pPr>
        <w:rPr>
          <w:sz w:val="16"/>
        </w:rPr>
      </w:pPr>
      <w:r w:rsidRPr="00AD66FB">
        <w:rPr>
          <w:rStyle w:val="StyleUnderline"/>
        </w:rPr>
        <w:t>The key is not only to extend the SSA capabilities using S-band</w:t>
      </w:r>
      <w:r w:rsidR="00AD66FB" w:rsidRPr="00AD66FB">
        <w:rPr>
          <w:rStyle w:val="StyleUnderline"/>
        </w:rPr>
        <w:t xml:space="preserve"> </w:t>
      </w:r>
      <w:r w:rsidRPr="00AD66FB">
        <w:rPr>
          <w:rStyle w:val="StyleUnderline"/>
        </w:rPr>
        <w:t>radar</w:t>
      </w:r>
      <w:r w:rsidRPr="00AD66FB">
        <w:rPr>
          <w:sz w:val="16"/>
        </w:rPr>
        <w:t>, optical tracking and sharing to network spacecraft tracking data</w:t>
      </w:r>
      <w:r w:rsidR="00AD66FB" w:rsidRPr="00AD66FB">
        <w:rPr>
          <w:sz w:val="16"/>
        </w:rPr>
        <w:t xml:space="preserve"> </w:t>
      </w:r>
      <w:r w:rsidRPr="00AD66FB">
        <w:rPr>
          <w:sz w:val="16"/>
        </w:rPr>
        <w:t>among satellite fleet operators</w:t>
      </w:r>
      <w:r w:rsidRPr="00AD66FB">
        <w:rPr>
          <w:rStyle w:val="StyleUnderline"/>
        </w:rPr>
        <w:t>, but to have reliable means to share this</w:t>
      </w:r>
      <w:r w:rsidR="00AD66FB" w:rsidRPr="00AD66FB">
        <w:rPr>
          <w:rStyle w:val="StyleUnderline"/>
        </w:rPr>
        <w:t xml:space="preserve"> </w:t>
      </w:r>
      <w:r w:rsidRPr="00AD66FB">
        <w:rPr>
          <w:rStyle w:val="StyleUnderline"/>
        </w:rPr>
        <w:t>data with all those operating satellite</w:t>
      </w:r>
      <w:r w:rsidRPr="00AD66FB">
        <w:rPr>
          <w:sz w:val="16"/>
        </w:rPr>
        <w:t>s—particularly those with satellites in polar orbits and those operating networks in the</w:t>
      </w:r>
      <w:r w:rsidR="00AD66FB" w:rsidRPr="00AD66FB">
        <w:rPr>
          <w:sz w:val="16"/>
        </w:rPr>
        <w:t xml:space="preserve"> </w:t>
      </w:r>
      <w:r w:rsidRPr="00AD66FB">
        <w:rPr>
          <w:sz w:val="16"/>
        </w:rPr>
        <w:t>300 km–1500 km range. The ability to provide timely alerts as to</w:t>
      </w:r>
      <w:r w:rsidR="00AD66FB" w:rsidRPr="00AD66FB">
        <w:rPr>
          <w:sz w:val="16"/>
        </w:rPr>
        <w:t xml:space="preserve"> </w:t>
      </w:r>
      <w:r w:rsidRPr="00AD66FB">
        <w:rPr>
          <w:sz w:val="16"/>
        </w:rPr>
        <w:t>possible collision is increasingly critical. Further there would apparently be significant value if alerts were to be provided in advance as to</w:t>
      </w:r>
      <w:r w:rsidR="00AD66FB" w:rsidRPr="00AD66FB">
        <w:rPr>
          <w:sz w:val="16"/>
        </w:rPr>
        <w:t xml:space="preserve"> </w:t>
      </w:r>
      <w:r w:rsidRPr="00AD66FB">
        <w:rPr>
          <w:sz w:val="16"/>
        </w:rPr>
        <w:t>any or all Rendezvous and Proximity Operations that are planned so</w:t>
      </w:r>
      <w:r w:rsidR="00AD66FB" w:rsidRPr="00AD66FB">
        <w:rPr>
          <w:sz w:val="16"/>
        </w:rPr>
        <w:t xml:space="preserve"> </w:t>
      </w:r>
      <w:r w:rsidRPr="00AD66FB">
        <w:rPr>
          <w:sz w:val="16"/>
        </w:rPr>
        <w:t>that such activities are not mistaken for an accidental conjunction or</w:t>
      </w:r>
      <w:r w:rsidR="00AD66FB" w:rsidRPr="00AD66FB">
        <w:rPr>
          <w:sz w:val="16"/>
        </w:rPr>
        <w:t xml:space="preserve"> </w:t>
      </w:r>
      <w:r w:rsidRPr="00AD66FB">
        <w:rPr>
          <w:sz w:val="16"/>
        </w:rPr>
        <w:t>even a possible hostile act. In a time where there is active discussions of</w:t>
      </w:r>
      <w:r w:rsidR="00AD66FB" w:rsidRPr="00AD66FB">
        <w:rPr>
          <w:sz w:val="16"/>
        </w:rPr>
        <w:t xml:space="preserve"> </w:t>
      </w:r>
      <w:r w:rsidRPr="00AD66FB">
        <w:rPr>
          <w:sz w:val="16"/>
        </w:rPr>
        <w:t>the possible creation of a ‘space force’ and possible military actions in</w:t>
      </w:r>
      <w:r w:rsidR="00AD66FB" w:rsidRPr="00AD66FB">
        <w:rPr>
          <w:sz w:val="16"/>
        </w:rPr>
        <w:t xml:space="preserve"> </w:t>
      </w:r>
      <w:r w:rsidRPr="00AD66FB">
        <w:rPr>
          <w:sz w:val="16"/>
        </w:rPr>
        <w:t>space the urgency of such an alert system and other space traffic</w:t>
      </w:r>
      <w:r w:rsidR="00AD66FB" w:rsidRPr="00AD66FB">
        <w:rPr>
          <w:sz w:val="16"/>
        </w:rPr>
        <w:t xml:space="preserve"> </w:t>
      </w:r>
      <w:r w:rsidRPr="00AD66FB">
        <w:rPr>
          <w:sz w:val="16"/>
        </w:rPr>
        <w:t>management capabilities only increase in importance.13</w:t>
      </w:r>
    </w:p>
    <w:p w:rsidR="00C62FB4" w:rsidRDefault="00C62FB4" w:rsidP="00C62FB4">
      <w:r>
        <w:t>8. The clear distinction between space traffic management and</w:t>
      </w:r>
      <w:r w:rsidR="00AD66FB">
        <w:t xml:space="preserve"> </w:t>
      </w:r>
      <w:r>
        <w:t>control versus risk minimization related to orbital debris</w:t>
      </w:r>
      <w:r w:rsidR="00AD66FB">
        <w:t xml:space="preserve"> </w:t>
      </w:r>
      <w:r>
        <w:t>collisions and active debris removal operations</w:t>
      </w:r>
    </w:p>
    <w:p w:rsidR="00C62FB4" w:rsidRPr="00AD66FB" w:rsidRDefault="00C62FB4" w:rsidP="00C62FB4">
      <w:pPr>
        <w:rPr>
          <w:sz w:val="16"/>
        </w:rPr>
      </w:pPr>
      <w:r w:rsidRPr="00AD66FB">
        <w:rPr>
          <w:sz w:val="16"/>
        </w:rPr>
        <w:t>Currently the main opportunity for avoiding orbital collisions is the</w:t>
      </w:r>
      <w:r w:rsidR="00AD66FB" w:rsidRPr="00AD66FB">
        <w:rPr>
          <w:sz w:val="16"/>
        </w:rPr>
        <w:t xml:space="preserve"> </w:t>
      </w:r>
      <w:r w:rsidRPr="00AD66FB">
        <w:rPr>
          <w:sz w:val="16"/>
        </w:rPr>
        <w:t>alerting of satellite operators of possible conjunctions with sufficient</w:t>
      </w:r>
      <w:r w:rsidR="00AD66FB" w:rsidRPr="00AD66FB">
        <w:rPr>
          <w:sz w:val="16"/>
        </w:rPr>
        <w:t xml:space="preserve"> </w:t>
      </w:r>
      <w:r w:rsidRPr="00AD66FB">
        <w:rPr>
          <w:sz w:val="16"/>
        </w:rPr>
        <w:t>warning times. This collision avoidance is accomplished by means of</w:t>
      </w:r>
      <w:r w:rsidR="00AD66FB" w:rsidRPr="00AD66FB">
        <w:rPr>
          <w:sz w:val="16"/>
        </w:rPr>
        <w:t xml:space="preserve"> </w:t>
      </w:r>
      <w:r w:rsidRPr="00AD66FB">
        <w:rPr>
          <w:sz w:val="16"/>
        </w:rPr>
        <w:t>sending commands to active spacecraft in time to change an orbit so as to</w:t>
      </w:r>
      <w:r w:rsidR="00AD66FB" w:rsidRPr="00AD66FB">
        <w:rPr>
          <w:sz w:val="16"/>
        </w:rPr>
        <w:t xml:space="preserve"> </w:t>
      </w:r>
      <w:r w:rsidRPr="00AD66FB">
        <w:rPr>
          <w:sz w:val="16"/>
        </w:rPr>
        <w:t xml:space="preserve">avoid a collision. </w:t>
      </w:r>
      <w:r w:rsidRPr="00AD66FB">
        <w:rPr>
          <w:rStyle w:val="StyleUnderline"/>
        </w:rPr>
        <w:t>The U.S. Joint Space Operations Center (JSpOC) has</w:t>
      </w:r>
      <w:r w:rsidR="00AD66FB" w:rsidRPr="00AD66FB">
        <w:rPr>
          <w:rStyle w:val="StyleUnderline"/>
        </w:rPr>
        <w:t xml:space="preserve"> </w:t>
      </w:r>
      <w:r w:rsidRPr="00AD66FB">
        <w:rPr>
          <w:rStyle w:val="StyleUnderline"/>
        </w:rPr>
        <w:t>developed methods to share such alerts with network operators around</w:t>
      </w:r>
      <w:r w:rsidR="00AD66FB" w:rsidRPr="00AD66FB">
        <w:rPr>
          <w:rStyle w:val="StyleUnderline"/>
        </w:rPr>
        <w:t xml:space="preserve"> </w:t>
      </w:r>
      <w:r w:rsidRPr="00AD66FB">
        <w:rPr>
          <w:rStyle w:val="StyleUnderline"/>
        </w:rPr>
        <w:t>the world. The Space Data Center and other providers of space situational awareness (SSA) services are constantly improving these capabilities for international data sharing. Ironically, such alerts now go to</w:t>
      </w:r>
      <w:r w:rsidR="00AD66FB" w:rsidRPr="00AD66FB">
        <w:rPr>
          <w:rStyle w:val="StyleUnderline"/>
        </w:rPr>
        <w:t xml:space="preserve"> </w:t>
      </w:r>
      <w:r w:rsidRPr="00AD66FB">
        <w:rPr>
          <w:rStyle w:val="StyleUnderline"/>
        </w:rPr>
        <w:t>the Chinese National Space Agency to warn of threats to Chinese satellites that are imperiled by debris</w:t>
      </w:r>
      <w:r w:rsidRPr="00AD66FB">
        <w:rPr>
          <w:sz w:val="16"/>
        </w:rPr>
        <w:t xml:space="preserve"> from the 2007 Chinese missile event</w:t>
      </w:r>
      <w:r w:rsidR="00AD66FB" w:rsidRPr="00AD66FB">
        <w:rPr>
          <w:sz w:val="16"/>
        </w:rPr>
        <w:t xml:space="preserve"> </w:t>
      </w:r>
      <w:r w:rsidRPr="00AD66FB">
        <w:rPr>
          <w:sz w:val="16"/>
        </w:rPr>
        <w:t>since a new collision creates new space vulnerabilities for everyone.</w:t>
      </w:r>
    </w:p>
    <w:p w:rsidR="00C62FB4" w:rsidRPr="00AD66FB" w:rsidRDefault="00C62FB4" w:rsidP="00C62FB4">
      <w:pPr>
        <w:rPr>
          <w:sz w:val="16"/>
          <w:szCs w:val="16"/>
        </w:rPr>
      </w:pPr>
      <w:r w:rsidRPr="00AD66FB">
        <w:rPr>
          <w:sz w:val="16"/>
          <w:szCs w:val="16"/>
        </w:rPr>
        <w:lastRenderedPageBreak/>
        <w:t>Of course there is no maneuverability for inert space debris. Space</w:t>
      </w:r>
      <w:r w:rsidR="00AD66FB" w:rsidRPr="00AD66FB">
        <w:rPr>
          <w:sz w:val="16"/>
          <w:szCs w:val="16"/>
        </w:rPr>
        <w:t xml:space="preserve"> </w:t>
      </w:r>
      <w:r w:rsidRPr="00AD66FB">
        <w:rPr>
          <w:sz w:val="16"/>
          <w:szCs w:val="16"/>
        </w:rPr>
        <w:t>traffic management commands cannot be sent to inert space debris objects to avoid collisions. It might be possible for ground based lasers or</w:t>
      </w:r>
      <w:r w:rsidR="00AD66FB" w:rsidRPr="00AD66FB">
        <w:rPr>
          <w:sz w:val="16"/>
          <w:szCs w:val="16"/>
        </w:rPr>
        <w:t xml:space="preserve"> </w:t>
      </w:r>
      <w:r w:rsidRPr="00AD66FB">
        <w:rPr>
          <w:sz w:val="16"/>
          <w:szCs w:val="16"/>
        </w:rPr>
        <w:t>directed energy beams to alter the orbit of debris to avoid a collision, but</w:t>
      </w:r>
      <w:r w:rsidR="00AD66FB" w:rsidRPr="00AD66FB">
        <w:rPr>
          <w:sz w:val="16"/>
          <w:szCs w:val="16"/>
        </w:rPr>
        <w:t xml:space="preserve"> </w:t>
      </w:r>
      <w:r w:rsidRPr="00AD66FB">
        <w:rPr>
          <w:sz w:val="16"/>
          <w:szCs w:val="16"/>
        </w:rPr>
        <w:t>otherwise collision avoidance must depend on sending commands to</w:t>
      </w:r>
      <w:r w:rsidR="00AD66FB" w:rsidRPr="00AD66FB">
        <w:rPr>
          <w:sz w:val="16"/>
          <w:szCs w:val="16"/>
        </w:rPr>
        <w:t xml:space="preserve"> </w:t>
      </w:r>
      <w:r w:rsidRPr="00AD66FB">
        <w:rPr>
          <w:sz w:val="16"/>
          <w:szCs w:val="16"/>
        </w:rPr>
        <w:t>space objects with active control systems. There is a reluctance to use</w:t>
      </w:r>
      <w:r w:rsidR="00AD66FB" w:rsidRPr="00AD66FB">
        <w:rPr>
          <w:sz w:val="16"/>
          <w:szCs w:val="16"/>
        </w:rPr>
        <w:t xml:space="preserve"> </w:t>
      </w:r>
      <w:r w:rsidRPr="00AD66FB">
        <w:rPr>
          <w:sz w:val="16"/>
          <w:szCs w:val="16"/>
        </w:rPr>
        <w:t>ground based beaming systems to alter the orbit of space objects of other</w:t>
      </w:r>
      <w:r w:rsidR="00AD66FB" w:rsidRPr="00AD66FB">
        <w:rPr>
          <w:sz w:val="16"/>
          <w:szCs w:val="16"/>
        </w:rPr>
        <w:t xml:space="preserve"> </w:t>
      </w:r>
      <w:r w:rsidRPr="00AD66FB">
        <w:rPr>
          <w:sz w:val="16"/>
          <w:szCs w:val="16"/>
        </w:rPr>
        <w:t>states. There have been suggestions, however, that representatives of</w:t>
      </w:r>
      <w:r w:rsidR="00AD66FB" w:rsidRPr="00AD66FB">
        <w:rPr>
          <w:sz w:val="16"/>
          <w:szCs w:val="16"/>
        </w:rPr>
        <w:t xml:space="preserve"> </w:t>
      </w:r>
      <w:r w:rsidRPr="00AD66FB">
        <w:rPr>
          <w:sz w:val="16"/>
          <w:szCs w:val="16"/>
        </w:rPr>
        <w:t>countries who have debris that threaten collision with other satellites or</w:t>
      </w:r>
      <w:r w:rsidR="00AD66FB" w:rsidRPr="00AD66FB">
        <w:rPr>
          <w:sz w:val="16"/>
          <w:szCs w:val="16"/>
        </w:rPr>
        <w:t xml:space="preserve"> </w:t>
      </w:r>
      <w:r w:rsidRPr="00AD66FB">
        <w:rPr>
          <w:sz w:val="16"/>
          <w:szCs w:val="16"/>
        </w:rPr>
        <w:t>debris might be positioned at the controls of a directed beam system to</w:t>
      </w:r>
      <w:r w:rsidR="00AD66FB" w:rsidRPr="00AD66FB">
        <w:rPr>
          <w:sz w:val="16"/>
          <w:szCs w:val="16"/>
        </w:rPr>
        <w:t xml:space="preserve"> </w:t>
      </w:r>
      <w:r w:rsidRPr="00AD66FB">
        <w:rPr>
          <w:sz w:val="16"/>
          <w:szCs w:val="16"/>
        </w:rPr>
        <w:t>send the commands that could help to avoid in-orbit collisions.</w:t>
      </w:r>
    </w:p>
    <w:p w:rsidR="00C62FB4" w:rsidRPr="00AD66FB" w:rsidRDefault="00C62FB4" w:rsidP="00C62FB4">
      <w:pPr>
        <w:rPr>
          <w:sz w:val="16"/>
        </w:rPr>
      </w:pPr>
      <w:r w:rsidRPr="00AD66FB">
        <w:rPr>
          <w:rStyle w:val="StyleUnderline"/>
        </w:rPr>
        <w:t>It has been recommended that active debris removal be undertaken</w:t>
      </w:r>
      <w:r w:rsidR="00AD66FB" w:rsidRPr="00AD66FB">
        <w:rPr>
          <w:sz w:val="16"/>
        </w:rPr>
        <w:t xml:space="preserve"> </w:t>
      </w:r>
      <w:r w:rsidRPr="00AD66FB">
        <w:rPr>
          <w:sz w:val="16"/>
        </w:rPr>
        <w:t>to de-orbit the debris that most threatens major collisions, with a top</w:t>
      </w:r>
      <w:r w:rsidR="00AD66FB" w:rsidRPr="00AD66FB">
        <w:rPr>
          <w:sz w:val="16"/>
        </w:rPr>
        <w:t xml:space="preserve"> </w:t>
      </w:r>
      <w:r w:rsidRPr="00AD66FB">
        <w:rPr>
          <w:sz w:val="16"/>
        </w:rPr>
        <w:t>priority being given to Envirsat and like inert space objects that constitute the highest level of risk.14</w:t>
      </w:r>
    </w:p>
    <w:p w:rsidR="00C62FB4" w:rsidRDefault="00C62FB4" w:rsidP="00C62FB4">
      <w:pPr>
        <w:rPr>
          <w:sz w:val="16"/>
        </w:rPr>
      </w:pPr>
      <w:r w:rsidRPr="00AD66FB">
        <w:rPr>
          <w:rStyle w:val="StyleUnderline"/>
        </w:rPr>
        <w:t>Several experiments with active de-orbiting of satellites, such as the</w:t>
      </w:r>
      <w:r w:rsidR="00AD66FB" w:rsidRPr="00AD66FB">
        <w:rPr>
          <w:rStyle w:val="StyleUnderline"/>
        </w:rPr>
        <w:t xml:space="preserve"> </w:t>
      </w:r>
      <w:r w:rsidRPr="00AD66FB">
        <w:rPr>
          <w:rStyle w:val="StyleUnderline"/>
        </w:rPr>
        <w:t>DARPA Phoenix mission</w:t>
      </w:r>
      <w:r w:rsidRPr="00AD66FB">
        <w:rPr>
          <w:sz w:val="16"/>
        </w:rPr>
        <w:t>, Swiss CleanOne, the German DEOS project</w:t>
      </w:r>
      <w:r w:rsidR="00AD66FB" w:rsidRPr="00AD66FB">
        <w:rPr>
          <w:sz w:val="16"/>
        </w:rPr>
        <w:t xml:space="preserve"> </w:t>
      </w:r>
      <w:r w:rsidRPr="00AD66FB">
        <w:rPr>
          <w:sz w:val="16"/>
        </w:rPr>
        <w:t xml:space="preserve">and the most recent NASA sponsored NanoRacks-Remove Debris mission developed by the Surrey Space Centre, </w:t>
      </w:r>
      <w:r w:rsidRPr="00AD66FB">
        <w:rPr>
          <w:rStyle w:val="StyleUnderline"/>
        </w:rPr>
        <w:t>have been completed or</w:t>
      </w:r>
      <w:r w:rsidR="00AD66FB" w:rsidRPr="00AD66FB">
        <w:rPr>
          <w:rStyle w:val="StyleUnderline"/>
        </w:rPr>
        <w:t xml:space="preserve"> </w:t>
      </w:r>
      <w:r w:rsidRPr="00AD66FB">
        <w:rPr>
          <w:rStyle w:val="StyleUnderline"/>
        </w:rPr>
        <w:t>initiated</w:t>
      </w:r>
      <w:r w:rsidRPr="00AD66FB">
        <w:rPr>
          <w:sz w:val="16"/>
        </w:rPr>
        <w:t>. These experimental efforts have sought to develop the needed</w:t>
      </w:r>
      <w:r w:rsidR="00AD66FB" w:rsidRPr="00AD66FB">
        <w:rPr>
          <w:sz w:val="16"/>
        </w:rPr>
        <w:t xml:space="preserve"> </w:t>
      </w:r>
      <w:r w:rsidRPr="00AD66FB">
        <w:rPr>
          <w:sz w:val="16"/>
        </w:rPr>
        <w:t>technologies to undertake active debris removal capabilities.15</w:t>
      </w:r>
    </w:p>
    <w:p w:rsidR="007E5EE3" w:rsidRDefault="007E5EE3" w:rsidP="00C62FB4">
      <w:pPr>
        <w:rPr>
          <w:sz w:val="16"/>
        </w:rPr>
      </w:pPr>
    </w:p>
    <w:p w:rsidR="007E5EE3" w:rsidRDefault="007E5EE3" w:rsidP="007E5EE3">
      <w:pPr>
        <w:pStyle w:val="Heading4"/>
      </w:pPr>
      <w:r>
        <w:t>Best Practices Solve and are Modeled</w:t>
      </w:r>
    </w:p>
    <w:p w:rsidR="007E5EE3" w:rsidRPr="00AD66FB" w:rsidRDefault="007E5EE3" w:rsidP="007E5EE3">
      <w:r>
        <w:t>Pelton, J. N. (2019). A path forward to better space security: Finding new solutions to space debris, space situational awareness and space traffic management. Journal of Space Safety Engineering. doi:10.1016/j.jsse.2019.04.005  #tog **ADA Novice Packet 2019**</w:t>
      </w:r>
    </w:p>
    <w:p w:rsidR="007E5EE3" w:rsidRPr="00AD66FB" w:rsidRDefault="007E5EE3" w:rsidP="00C62FB4">
      <w:pPr>
        <w:rPr>
          <w:sz w:val="16"/>
        </w:rPr>
      </w:pPr>
    </w:p>
    <w:p w:rsidR="00C62FB4" w:rsidRDefault="00AD66FB" w:rsidP="00C62FB4">
      <w:r>
        <w:t xml:space="preserve"> </w:t>
      </w:r>
      <w:r w:rsidR="00C62FB4">
        <w:t xml:space="preserve">(4) </w:t>
      </w:r>
      <w:r w:rsidR="00C62FB4" w:rsidRPr="00AD66FB">
        <w:rPr>
          <w:rStyle w:val="StyleUnderline"/>
        </w:rPr>
        <w:t>Here soft law, best practices or so-called transparency and confidence building measures will need to play a central role. The U.S.</w:t>
      </w:r>
      <w:r w:rsidRPr="00AD66FB">
        <w:rPr>
          <w:rStyle w:val="StyleUnderline"/>
        </w:rPr>
        <w:t xml:space="preserve"> </w:t>
      </w:r>
      <w:r w:rsidR="00C62FB4" w:rsidRPr="00AD66FB">
        <w:rPr>
          <w:rStyle w:val="StyleUnderline"/>
        </w:rPr>
        <w:t>has developed regulatory processes and legislation that govern the</w:t>
      </w:r>
      <w:r w:rsidRPr="00AD66FB">
        <w:rPr>
          <w:rStyle w:val="StyleUnderline"/>
        </w:rPr>
        <w:t xml:space="preserve"> </w:t>
      </w:r>
      <w:r w:rsidR="00C62FB4" w:rsidRPr="00AD66FB">
        <w:rPr>
          <w:rStyle w:val="StyleUnderline"/>
        </w:rPr>
        <w:t>licensing and control procedures with regard to spaceplane flights</w:t>
      </w:r>
      <w:r w:rsidRPr="00AD66FB">
        <w:rPr>
          <w:rStyle w:val="StyleUnderline"/>
        </w:rPr>
        <w:t xml:space="preserve"> </w:t>
      </w:r>
      <w:r w:rsidR="00C62FB4" w:rsidRPr="00AD66FB">
        <w:rPr>
          <w:rStyle w:val="StyleUnderline"/>
        </w:rPr>
        <w:t>under experimental licensing and plans are now advancing to create</w:t>
      </w:r>
      <w:r w:rsidRPr="00AD66FB">
        <w:rPr>
          <w:rStyle w:val="StyleUnderline"/>
        </w:rPr>
        <w:t xml:space="preserve"> </w:t>
      </w:r>
      <w:r w:rsidR="00C62FB4" w:rsidRPr="00AD66FB">
        <w:rPr>
          <w:rStyle w:val="StyleUnderline"/>
        </w:rPr>
        <w:t>a systematic approach to on-going commercial operation. In response to these U.S. initiatives there has been a largely parallel</w:t>
      </w:r>
      <w:r w:rsidRPr="00AD66FB">
        <w:rPr>
          <w:rStyle w:val="StyleUnderline"/>
        </w:rPr>
        <w:t xml:space="preserve"> </w:t>
      </w:r>
      <w:r w:rsidR="00C62FB4" w:rsidRPr="00AD66FB">
        <w:rPr>
          <w:rStyle w:val="StyleUnderline"/>
        </w:rPr>
        <w:t>response from a number of licensing agencies</w:t>
      </w:r>
      <w:r w:rsidR="00C62FB4">
        <w:t xml:space="preserve"> in Europe (i.e., the</w:t>
      </w:r>
      <w:r>
        <w:t xml:space="preserve"> </w:t>
      </w:r>
      <w:r w:rsidR="00C62FB4">
        <w:t xml:space="preserve">EASA), in Australia, Canada, and Japan, </w:t>
      </w:r>
      <w:r w:rsidR="00C62FB4" w:rsidRPr="00AD66FB">
        <w:rPr>
          <w:rStyle w:val="StyleUnderline"/>
        </w:rPr>
        <w:t>which have moved to</w:t>
      </w:r>
      <w:r w:rsidRPr="00AD66FB">
        <w:rPr>
          <w:rStyle w:val="StyleUnderline"/>
        </w:rPr>
        <w:t xml:space="preserve"> </w:t>
      </w:r>
      <w:r w:rsidR="00C62FB4" w:rsidRPr="00AD66FB">
        <w:rPr>
          <w:rStyle w:val="StyleUnderline"/>
        </w:rPr>
        <w:t>adopt similar approaches</w:t>
      </w:r>
      <w:r w:rsidR="00C62FB4">
        <w:t>. The largest challenge is with regard to</w:t>
      </w:r>
      <w:r>
        <w:t xml:space="preserve"> </w:t>
      </w:r>
      <w:r w:rsidR="00C62FB4">
        <w:t>space debris mitigation and space traffic management and where</w:t>
      </w:r>
      <w:r>
        <w:t xml:space="preserve"> </w:t>
      </w:r>
      <w:r w:rsidR="00C62FB4">
        <w:t>soft law initiatives at the national level can create a base for best</w:t>
      </w:r>
      <w:r>
        <w:t xml:space="preserve"> </w:t>
      </w:r>
      <w:r w:rsidR="00C62FB4">
        <w:t>practices that are widely agreed by space faring nations.</w:t>
      </w:r>
    </w:p>
    <w:p w:rsidR="00C62FB4" w:rsidRDefault="00C62FB4" w:rsidP="00C62FB4">
      <w:r>
        <w:t>(5) Thus what is most significant may be the Space Policy Directive 3:</w:t>
      </w:r>
      <w:r w:rsidR="00AD66FB">
        <w:t xml:space="preserve"> </w:t>
      </w:r>
      <w:r>
        <w:t>National Space Traffic Management Policy issued on June 18, 2018</w:t>
      </w:r>
      <w:r w:rsidR="00AD66FB">
        <w:t xml:space="preserve"> </w:t>
      </w:r>
      <w:r>
        <w:t>by the U.S. White House. This Directive to all concerned agencies has</w:t>
      </w:r>
      <w:r w:rsidR="00AD66FB">
        <w:t xml:space="preserve"> </w:t>
      </w:r>
      <w:r>
        <w:t>specifically addressed the problem of ‘congested and contested space’</w:t>
      </w:r>
      <w:r w:rsidR="00AD66FB">
        <w:t xml:space="preserve"> </w:t>
      </w:r>
      <w:r>
        <w:t>and the specific issues of space debris and space traffic management</w:t>
      </w:r>
      <w:r w:rsidR="00AD66FB">
        <w:t xml:space="preserve"> </w:t>
      </w:r>
      <w:r>
        <w:t>policy. This U.S. Executive Office Space Policy Directive-3 sets forth</w:t>
      </w:r>
      <w:r w:rsidR="00AD66FB">
        <w:t xml:space="preserve"> </w:t>
      </w:r>
      <w:r>
        <w:t>the problems of space situational awareness, the need for an</w:t>
      </w:r>
      <w:r w:rsidR="00AD66FB">
        <w:t xml:space="preserve"> </w:t>
      </w:r>
      <w:r>
        <w:t>improved registry of space objects in Earth orbit, the need for better</w:t>
      </w:r>
      <w:r w:rsidR="00AD66FB">
        <w:t xml:space="preserve"> </w:t>
      </w:r>
      <w:r>
        <w:t>sharing of information with regard to operational spacecraft and</w:t>
      </w:r>
      <w:r w:rsidR="00AD66FB">
        <w:t xml:space="preserve"> </w:t>
      </w:r>
      <w:r>
        <w:t>space debris, the need for an improved space traffic management</w:t>
      </w:r>
      <w:r w:rsidR="00AD66FB">
        <w:t xml:space="preserve"> </w:t>
      </w:r>
      <w:r>
        <w:t>system and support for collision avoidance services. In a broader</w:t>
      </w:r>
      <w:r w:rsidR="00AD66FB">
        <w:t xml:space="preserve"> </w:t>
      </w:r>
      <w:r>
        <w:t>context, it addresses what might be called the need for an improved</w:t>
      </w:r>
      <w:r w:rsidR="00AD66FB">
        <w:t xml:space="preserve"> </w:t>
      </w:r>
      <w:r>
        <w:t>approach to ‘space security for space operations’ for commercial</w:t>
      </w:r>
      <w:r w:rsidR="00AD66FB">
        <w:t xml:space="preserve"> </w:t>
      </w:r>
      <w:r>
        <w:t xml:space="preserve">space systems. This Executive Directive stated </w:t>
      </w:r>
      <w:r w:rsidRPr="007E5EE3">
        <w:rPr>
          <w:rStyle w:val="StyleUnderline"/>
        </w:rPr>
        <w:t>that the Department of</w:t>
      </w:r>
      <w:r w:rsidR="00AD66FB" w:rsidRPr="007E5EE3">
        <w:rPr>
          <w:rStyle w:val="StyleUnderline"/>
        </w:rPr>
        <w:t xml:space="preserve"> </w:t>
      </w:r>
      <w:r w:rsidRPr="007E5EE3">
        <w:rPr>
          <w:rStyle w:val="StyleUnderline"/>
        </w:rPr>
        <w:t>Commerce should be the U.S. civil agency</w:t>
      </w:r>
      <w:r>
        <w:t xml:space="preserve"> “to focus on maintaining</w:t>
      </w:r>
      <w:r w:rsidR="00AD66FB">
        <w:t xml:space="preserve"> </w:t>
      </w:r>
      <w:r>
        <w:t xml:space="preserve">access to and freedom of action in space” and “should be the </w:t>
      </w:r>
      <w:r w:rsidRPr="007E5EE3">
        <w:rPr>
          <w:rStyle w:val="StyleUnderline"/>
        </w:rPr>
        <w:t>focal</w:t>
      </w:r>
      <w:r w:rsidR="00AD66FB" w:rsidRPr="007E5EE3">
        <w:rPr>
          <w:rStyle w:val="StyleUnderline"/>
        </w:rPr>
        <w:t xml:space="preserve"> </w:t>
      </w:r>
      <w:r w:rsidRPr="007E5EE3">
        <w:rPr>
          <w:rStyle w:val="StyleUnderline"/>
        </w:rPr>
        <w:t>point for this collision avoidance support service.</w:t>
      </w:r>
      <w:r>
        <w:t>”21</w:t>
      </w:r>
    </w:p>
    <w:p w:rsidR="00C62FB4" w:rsidRDefault="00C62FB4" w:rsidP="00C62FB4">
      <w:r>
        <w:t>It charged the Department of Commerce, working with other</w:t>
      </w:r>
      <w:r w:rsidR="00AD66FB">
        <w:t xml:space="preserve"> </w:t>
      </w:r>
      <w:r>
        <w:t xml:space="preserve">Departments of the U.S. Government, </w:t>
      </w:r>
      <w:r w:rsidRPr="007E5EE3">
        <w:rPr>
          <w:rStyle w:val="StyleUnderline"/>
        </w:rPr>
        <w:t>to develop for civil commercial</w:t>
      </w:r>
      <w:r w:rsidR="00AD66FB" w:rsidRPr="007E5EE3">
        <w:rPr>
          <w:rStyle w:val="StyleUnderline"/>
        </w:rPr>
        <w:t xml:space="preserve"> </w:t>
      </w:r>
      <w:r w:rsidRPr="007E5EE3">
        <w:rPr>
          <w:rStyle w:val="StyleUnderline"/>
        </w:rPr>
        <w:t>space activities the “minimum standards for safe operation and debris</w:t>
      </w:r>
      <w:r w:rsidR="00AD66FB" w:rsidRPr="007E5EE3">
        <w:rPr>
          <w:rStyle w:val="StyleUnderline"/>
        </w:rPr>
        <w:t xml:space="preserve"> </w:t>
      </w:r>
      <w:r w:rsidRPr="007E5EE3">
        <w:rPr>
          <w:rStyle w:val="StyleUnderline"/>
        </w:rPr>
        <w:t>mitigation</w:t>
      </w:r>
      <w:r>
        <w:t xml:space="preserve"> derived in part from the U.S. Government ODMSP, but incorporating other standards and best practices, will best ensure the safe</w:t>
      </w:r>
      <w:r w:rsidR="00AD66FB">
        <w:t xml:space="preserve"> </w:t>
      </w:r>
      <w:r>
        <w:t>operation of U.S. space activities. These safety guidelines should consider maneuverability, tracking, reliability, and disposal.”</w:t>
      </w:r>
    </w:p>
    <w:p w:rsidR="00C62FB4" w:rsidRPr="00C62FB4" w:rsidRDefault="00C62FB4" w:rsidP="00C62FB4">
      <w:r>
        <w:t xml:space="preserve">This Directive essentially called for </w:t>
      </w:r>
      <w:r w:rsidRPr="007E5EE3">
        <w:rPr>
          <w:rStyle w:val="StyleUnderline"/>
        </w:rPr>
        <w:t>the U.S. Government to take on</w:t>
      </w:r>
      <w:r w:rsidR="00AD66FB" w:rsidRPr="007E5EE3">
        <w:rPr>
          <w:rStyle w:val="StyleUnderline"/>
        </w:rPr>
        <w:t xml:space="preserve"> </w:t>
      </w:r>
      <w:r w:rsidRPr="007E5EE3">
        <w:rPr>
          <w:rStyle w:val="StyleUnderline"/>
        </w:rPr>
        <w:t>a leadership role to make improvements in all of the areas set forth in</w:t>
      </w:r>
      <w:r w:rsidR="00AD66FB" w:rsidRPr="007E5EE3">
        <w:rPr>
          <w:rStyle w:val="StyleUnderline"/>
        </w:rPr>
        <w:t xml:space="preserve"> </w:t>
      </w:r>
      <w:r w:rsidRPr="007E5EE3">
        <w:rPr>
          <w:rStyle w:val="StyleUnderline"/>
        </w:rPr>
        <w:t>this Directive and to share these results with the world space community for consideration as what might be called “best practices</w:t>
      </w:r>
      <w:r>
        <w:t>” and to</w:t>
      </w:r>
      <w:r w:rsidR="00AD66FB">
        <w:t xml:space="preserve"> </w:t>
      </w:r>
      <w:r>
        <w:t>thus hope that other countries, especially space faring-nations, might</w:t>
      </w:r>
      <w:r w:rsidR="00AD66FB">
        <w:t xml:space="preserve"> </w:t>
      </w:r>
      <w:r>
        <w:t>adopt parallel practices. It is still too early to project the outcome of this</w:t>
      </w:r>
      <w:r w:rsidR="00AD66FB">
        <w:t xml:space="preserve"> </w:t>
      </w:r>
      <w:r>
        <w:t>Directive in terms of the resulting policy in the U.S. or whether other</w:t>
      </w:r>
      <w:r w:rsidR="00AD66FB">
        <w:t xml:space="preserve"> </w:t>
      </w:r>
      <w:r>
        <w:t>nations will consider this outcome a useful guide to best practices going</w:t>
      </w:r>
      <w:r w:rsidR="00AD66FB">
        <w:t xml:space="preserve"> </w:t>
      </w:r>
      <w:r>
        <w:t>forward. Further it only addresses commercial space and not military or</w:t>
      </w:r>
      <w:r w:rsidR="00AD66FB">
        <w:t xml:space="preserve"> </w:t>
      </w:r>
      <w:r>
        <w:t>defensive uses of space that is still a key part of the equation.</w:t>
      </w:r>
      <w:r w:rsidR="00AD66FB">
        <w:t xml:space="preserve"> </w:t>
      </w:r>
      <w:r>
        <w:t xml:space="preserve">Nevertheless </w:t>
      </w:r>
      <w:r w:rsidRPr="007E5EE3">
        <w:rPr>
          <w:rStyle w:val="StyleUnderline"/>
        </w:rPr>
        <w:t>this could be a milestone for positive ‘soft law’ activity and</w:t>
      </w:r>
      <w:r w:rsidR="00AD66FB" w:rsidRPr="007E5EE3">
        <w:rPr>
          <w:rStyle w:val="StyleUnderline"/>
        </w:rPr>
        <w:t xml:space="preserve"> </w:t>
      </w:r>
      <w:r w:rsidRPr="007E5EE3">
        <w:rPr>
          <w:rStyle w:val="StyleUnderline"/>
        </w:rPr>
        <w:t>create a useful framework for best practices</w:t>
      </w:r>
      <w:r>
        <w:t xml:space="preserve"> with regard to space debris,</w:t>
      </w:r>
      <w:r w:rsidR="00AD66FB">
        <w:t xml:space="preserve"> </w:t>
      </w:r>
      <w:r>
        <w:t>space situational awareness and space traffic management.</w:t>
      </w:r>
    </w:p>
    <w:p w:rsidR="00C62FB4" w:rsidRPr="00C62FB4" w:rsidRDefault="00C62FB4" w:rsidP="00C62FB4"/>
    <w:p w:rsidR="005B6A47" w:rsidRDefault="005B6A47" w:rsidP="00022DD7">
      <w:pPr>
        <w:pStyle w:val="Heading3"/>
      </w:pPr>
      <w:bookmarkStart w:id="0" w:name="_GoBack"/>
      <w:bookmarkEnd w:id="0"/>
      <w:r>
        <w:lastRenderedPageBreak/>
        <w:t>Arms Control</w:t>
      </w:r>
    </w:p>
    <w:p w:rsidR="000A0C6E" w:rsidRDefault="000A0C6E" w:rsidP="000A0C6E">
      <w:pPr>
        <w:pStyle w:val="Heading4"/>
      </w:pPr>
      <w:r>
        <w:t xml:space="preserve">Unilateral </w:t>
      </w:r>
      <w:r w:rsidR="00FC3525">
        <w:t xml:space="preserve">arms control </w:t>
      </w:r>
      <w:r>
        <w:t>declarations</w:t>
      </w:r>
      <w:r w:rsidR="00FC3525">
        <w:t xml:space="preserve"> can solve – legally binding and are perceived</w:t>
      </w:r>
    </w:p>
    <w:p w:rsidR="000A0C6E" w:rsidRPr="000A0C6E" w:rsidRDefault="000A0C6E" w:rsidP="000A0C6E">
      <w:r>
        <w:t xml:space="preserve">Jinyuan </w:t>
      </w:r>
      <w:r w:rsidRPr="00FC3525">
        <w:rPr>
          <w:rStyle w:val="Style13ptBold"/>
        </w:rPr>
        <w:t>Su</w:t>
      </w:r>
      <w:r w:rsidR="00FC3525">
        <w:rPr>
          <w:rStyle w:val="Style13ptBold"/>
        </w:rPr>
        <w:t xml:space="preserve"> 2015</w:t>
      </w:r>
      <w:r>
        <w:t xml:space="preserve">, School of Law, Xi’an Jiaotong University, People’s Republic of China Institute of Air and Space Law, Faculty of Law, McGill University, Canada, “Space Arms Control: Lex Lata and Currently Active Proposals. Asian Journal of International Law, 7(01), 61–93. doi:10.1017/s2044251315000223 </w:t>
      </w:r>
      <w:r w:rsidR="005B6A47">
        <w:t>#tog **ADA Novice Packet 2019**</w:t>
      </w:r>
    </w:p>
    <w:p w:rsidR="000A0C6E" w:rsidRPr="00FC3525" w:rsidRDefault="000A0C6E" w:rsidP="00B55AD5">
      <w:pPr>
        <w:rPr>
          <w:sz w:val="16"/>
        </w:rPr>
      </w:pPr>
      <w:r w:rsidRPr="00FC3525">
        <w:rPr>
          <w:sz w:val="16"/>
        </w:rPr>
        <w:t xml:space="preserve">The </w:t>
      </w:r>
      <w:r w:rsidRPr="00FC3525">
        <w:rPr>
          <w:rStyle w:val="StyleUnderline"/>
        </w:rPr>
        <w:t>unilateral statements</w:t>
      </w:r>
      <w:r w:rsidRPr="00FC3525">
        <w:rPr>
          <w:sz w:val="16"/>
        </w:rPr>
        <w:t xml:space="preserve"> led by Russia </w:t>
      </w:r>
      <w:r w:rsidRPr="00FC3525">
        <w:rPr>
          <w:rStyle w:val="StyleUnderline"/>
        </w:rPr>
        <w:t>are important confidence-building measures</w:t>
      </w:r>
      <w:r w:rsidRPr="00FC3525">
        <w:rPr>
          <w:sz w:val="16"/>
        </w:rPr>
        <w:t xml:space="preserve"> </w:t>
      </w:r>
      <w:r w:rsidRPr="00FC3525">
        <w:rPr>
          <w:rStyle w:val="StyleUnderline"/>
        </w:rPr>
        <w:t>for</w:t>
      </w:r>
      <w:r w:rsidRPr="00FC3525">
        <w:rPr>
          <w:sz w:val="16"/>
        </w:rPr>
        <w:t xml:space="preserve"> the security of outer </w:t>
      </w:r>
      <w:r w:rsidRPr="00FC3525">
        <w:rPr>
          <w:rStyle w:val="StyleUnderline"/>
        </w:rPr>
        <w:t>space</w:t>
      </w:r>
      <w:r w:rsidRPr="00FC3525">
        <w:rPr>
          <w:sz w:val="16"/>
        </w:rPr>
        <w:t xml:space="preserve">. However, in international law </w:t>
      </w:r>
      <w:r w:rsidRPr="00FC3525">
        <w:rPr>
          <w:rStyle w:val="StyleUnderline"/>
        </w:rPr>
        <w:t>unilateral acts may also imply binding obligations</w:t>
      </w:r>
      <w:r w:rsidRPr="00FC3525">
        <w:rPr>
          <w:sz w:val="16"/>
        </w:rPr>
        <w:t xml:space="preserve">, subject to the fulfilment of some conditions. The </w:t>
      </w:r>
      <w:r w:rsidRPr="00FC3525">
        <w:rPr>
          <w:rStyle w:val="StyleUnderline"/>
        </w:rPr>
        <w:t>binding character of an international obligation assumed unilaterally, as</w:t>
      </w:r>
      <w:r w:rsidRPr="00FC3525">
        <w:rPr>
          <w:sz w:val="16"/>
        </w:rPr>
        <w:t xml:space="preserve"> the </w:t>
      </w:r>
      <w:r w:rsidRPr="00FC3525">
        <w:rPr>
          <w:rStyle w:val="StyleUnderline"/>
        </w:rPr>
        <w:t>customary principle</w:t>
      </w:r>
      <w:r w:rsidRPr="00FC3525">
        <w:rPr>
          <w:sz w:val="16"/>
        </w:rPr>
        <w:t xml:space="preserve"> of pacta sunt servanda, is based on good faith. The legal effect of unilateral statements made vis-à-vis the whole world community was addressed by the ICJ in the Nuclear Tests case, in which France committed to cease nuclear tests in the South Pacific. The ICJ expounded:</w:t>
      </w:r>
    </w:p>
    <w:p w:rsidR="000A0C6E" w:rsidRPr="00FC3525" w:rsidRDefault="000A0C6E" w:rsidP="000A0C6E">
      <w:pPr>
        <w:ind w:left="720"/>
        <w:rPr>
          <w:sz w:val="16"/>
        </w:rPr>
      </w:pPr>
      <w:r w:rsidRPr="00FC3525">
        <w:rPr>
          <w:sz w:val="16"/>
        </w:rPr>
        <w:t xml:space="preserve">It is well recognized that </w:t>
      </w:r>
      <w:r w:rsidRPr="00FC3525">
        <w:rPr>
          <w:rStyle w:val="StyleUnderline"/>
        </w:rPr>
        <w:t>declarations made by way of unilateral acts</w:t>
      </w:r>
      <w:r w:rsidRPr="00FC3525">
        <w:rPr>
          <w:sz w:val="16"/>
        </w:rPr>
        <w:t>, c</w:t>
      </w:r>
      <w:r w:rsidRPr="00FC3525">
        <w:rPr>
          <w:rStyle w:val="StyleUnderline"/>
        </w:rPr>
        <w:t>oncerning legal or factual situations, may have the effect of creating legal obligations.</w:t>
      </w:r>
      <w:r w:rsidRPr="00FC3525">
        <w:rPr>
          <w:sz w:val="16"/>
        </w:rPr>
        <w:t xml:space="preserve"> </w:t>
      </w:r>
      <w:r w:rsidRPr="00FC3525">
        <w:rPr>
          <w:rStyle w:val="StyleUnderline"/>
        </w:rPr>
        <w:t>Declarations of this kind may be, and often are, very specific</w:t>
      </w:r>
      <w:r w:rsidRPr="00FC3525">
        <w:rPr>
          <w:sz w:val="16"/>
        </w:rPr>
        <w:t xml:space="preserve">. When it is the intention of the State making the declaration that it should become bound according to its terms, that intention confers on the declaration the character of a legal undertaking, the State being thenceforth legally required to follow a course of conduct consistent with the declaration. </w:t>
      </w:r>
      <w:r w:rsidRPr="00FC3525">
        <w:rPr>
          <w:rStyle w:val="StyleUnderline"/>
        </w:rPr>
        <w:t>An undertaking of this kind, if given publicly, and with an intent to be bound, even though not made within the context of international negotiations, is binding</w:t>
      </w:r>
      <w:r w:rsidRPr="00FC3525">
        <w:rPr>
          <w:sz w:val="16"/>
        </w:rPr>
        <w:t xml:space="preserve">. In these circumstances, nothing </w:t>
      </w:r>
      <w:r w:rsidRPr="00FC3525">
        <w:rPr>
          <w:rStyle w:val="StyleUnderline"/>
        </w:rPr>
        <w:t>in the nature of a quid pro quo nor any subsequent acceptance of the declaration, nor even any reply or reaction from other States, is required</w:t>
      </w:r>
      <w:r w:rsidRPr="00FC3525">
        <w:rPr>
          <w:sz w:val="16"/>
        </w:rPr>
        <w:t xml:space="preserve"> for the declaration to take effect, since such a requirement would be inconsistent with the strictly unilateral nature of the juridical act by which the pronouncement by the State was made.92</w:t>
      </w:r>
    </w:p>
    <w:p w:rsidR="000A0C6E" w:rsidRPr="00FC3525" w:rsidRDefault="000A0C6E" w:rsidP="000A0C6E">
      <w:pPr>
        <w:rPr>
          <w:sz w:val="16"/>
          <w:szCs w:val="16"/>
        </w:rPr>
      </w:pPr>
      <w:r w:rsidRPr="00FC3525">
        <w:rPr>
          <w:sz w:val="16"/>
          <w:szCs w:val="16"/>
        </w:rPr>
        <w:t>Inspired by the Nuclear Tests Judgments, the International Law Commission (ILC) adopted “Guiding Principles Applicable to Unilateral Declarations of States Capable of Creating Legal Obligations” at its 58th Session in 2006, and submitted them to the General Assembly as a part of the Commission’s report covering the work of that session. The ILC agreed that the public nature of declarations and the manifestation of the will to be bound are the two primary conditions to establish legal obligations.93 In the Nuclear Tests case, the ICJ stated that the assessment hinges on the intention of being bound in relation to a particular matter, which is to be ascertained by interpretation of the act.94 Similarly, in the Case Concerning the Frontier Dispute between Burkina Faso and the Republic of Mali, it pointed out that “it all depends on the intention of the State in question”. 95 The views of the ICJ and the ILC are not necessarily contradictory. By referring to the declaration made by Egypt on 24 April 1957 on the Suez Canal and Jordan’s waiver of claims on the West Bank territories, the ILC is of the view that the public nature of declarations represents an important indication of their authors’ intention to commit themselves.96</w:t>
      </w:r>
    </w:p>
    <w:p w:rsidR="000A0C6E" w:rsidRPr="00FC3525" w:rsidRDefault="000A0C6E" w:rsidP="000A0C6E">
      <w:pPr>
        <w:rPr>
          <w:sz w:val="16"/>
          <w:szCs w:val="16"/>
        </w:rPr>
      </w:pPr>
      <w:r w:rsidRPr="00FC3525">
        <w:rPr>
          <w:sz w:val="16"/>
          <w:szCs w:val="16"/>
        </w:rPr>
        <w:t>The public nature of Russia’s 2004 unilateral statement at the First Committee of the United Nations General Assembly is evident, given that the General Assembly is one of the world’s most widely represented fora of sovereign states. Its intention to be bound is clear, given the precision of words and the use of “pledge”. The context in which the Russian declaration is made also serves as a positive indication that it is intended to be legally binding. The General Assembly First Committee deals with disarmament, global challenges, and threats to peace that affect the international community, and it seeks out solutions to the challenges in the international security regime, and works in close co-operation with the United Nations Disarmament Commission and the Geneva-based CD. The subsequent bilateral and multilateral declarations, which Brazil, Indonesia, Sri Lanka, Argentina, Cuba, and other States Parties to the CSTO made with Russia, also fulfil the dual requirements. However, for those states which have voted in favour of General Assembly Resolution 69/32 but have not made unilateral statements, simply expressing their appreciation and support of these efforts does not amount to the indication of the intention to be bound, and thus gives rise to no legal obligations. As a matter of fact, the obligations in the resolution were significantly watered down. It only “[e]ncourages all States, especially space-faring nations, to consider the possibility of upholding as appropriate a political commitment not to be the first to place weapons in outer space”. 97</w:t>
      </w:r>
    </w:p>
    <w:p w:rsidR="000A0C6E" w:rsidRPr="00FC3525" w:rsidRDefault="000A0C6E" w:rsidP="000A0C6E">
      <w:pPr>
        <w:rPr>
          <w:sz w:val="16"/>
        </w:rPr>
      </w:pPr>
      <w:r w:rsidRPr="00FC3525">
        <w:rPr>
          <w:sz w:val="16"/>
        </w:rPr>
        <w:t xml:space="preserve">Another essential element is the specific author of such statements, relating to who can legally represent the state. In the Nuclear Tests case, the ICJ found without doubt that statements by the heads of states and members constitute an engagement of the state.98 In the more recent Armed Activities on the Territory of the Congo case, it stated that, as a wellestablished rule of international law, the head of state, the head of government, and the minister for foreign affairs are deemed to represent the state merely by virtue of exercising their functions.99 The Court further expounded that “with increasing frequency in modern international relations other persons representing a State in specific fields may be authorized by that State to bind it by their statements in respect of matters falling within their purview”. 100 The ILC concurs with this, adding that the key point is that it should be made by an authority vested with the power to do so.101 Russia’s policy of no first deployment of weapons in outer space was announced at the UN General Assembly and the CD by its diplomatic representatives, who are presumably duly authorized, given the significance of the issue concerned and the consistency of the policy. The joint statements, on the other hand, were signed between presidents or ministers of foreign affairs bilaterally, while the official declaration of the CSTO was also made by heads of states. As to the addressee, there is no need for such statements to be addressed to a particular state, nor is acceptance by any other state required, for it to have legal effect.102 The ILC recognizes that </w:t>
      </w:r>
      <w:r w:rsidRPr="00FC3525">
        <w:rPr>
          <w:rStyle w:val="StyleUnderline"/>
        </w:rPr>
        <w:t>unilateral declarations may be addressed to the international community as a whole, to one or several states, or to other entities</w:t>
      </w:r>
      <w:r w:rsidRPr="00FC3525">
        <w:rPr>
          <w:sz w:val="16"/>
        </w:rPr>
        <w:t>.103 Unilateral declarations without specific addressees, like the above commitments of no first placement of weapons in outer space and the French commitment of ceasing nuclear tests, are presumed to be directed to the international community, potentially giving rise to erga omnes obligations.</w:t>
      </w:r>
    </w:p>
    <w:p w:rsidR="000A0C6E" w:rsidRPr="00FC3525" w:rsidRDefault="000A0C6E" w:rsidP="000A0C6E">
      <w:pPr>
        <w:rPr>
          <w:sz w:val="16"/>
          <w:szCs w:val="16"/>
        </w:rPr>
      </w:pPr>
      <w:r w:rsidRPr="00FC3525">
        <w:rPr>
          <w:sz w:val="16"/>
          <w:szCs w:val="16"/>
        </w:rPr>
        <w:lastRenderedPageBreak/>
        <w:t>Having established the legally binding force of unilateral commitments of no first placement of weapons in outer space, the question arises as to the interpretation of concrete legal obligations incurred by the commitments. The ICJ and the ILC share the common understanding that when states make statements by which their freedom of action is to be limited, a restrictive interpretation is called for.104 The pledge of no first placement of weapons in outer space can be broken down into the following components:</w:t>
      </w:r>
    </w:p>
    <w:p w:rsidR="000A0C6E" w:rsidRPr="00FC3525" w:rsidRDefault="000A0C6E" w:rsidP="000A0C6E">
      <w:pPr>
        <w:rPr>
          <w:sz w:val="16"/>
          <w:szCs w:val="16"/>
        </w:rPr>
      </w:pPr>
      <w:r w:rsidRPr="00FC3525">
        <w:rPr>
          <w:sz w:val="16"/>
          <w:szCs w:val="16"/>
        </w:rPr>
        <w:t>1. By using the words "not be the first", the pledge is conditional. Any other state or private entity′s deployment of weapons in outer space in the first place would free them from the negative undertaking.</w:t>
      </w:r>
    </w:p>
    <w:p w:rsidR="000A0C6E" w:rsidRPr="00FC3525" w:rsidRDefault="000A0C6E" w:rsidP="000A0C6E">
      <w:pPr>
        <w:rPr>
          <w:sz w:val="16"/>
          <w:szCs w:val="16"/>
        </w:rPr>
      </w:pPr>
      <w:r w:rsidRPr="00FC3525">
        <w:rPr>
          <w:sz w:val="16"/>
          <w:szCs w:val="16"/>
        </w:rPr>
        <w:t>2. "Weapons in outer space" are the objects of the pledge, which could be space to-space weapons or space-to-Earth weapons, but not terrestrial-based ASATs. By reference to the PPWT, which also reflects the Russian policy, dual-use outer space objects are not limited, unless they are converted or used to serve hostile purposes.</w:t>
      </w:r>
    </w:p>
    <w:p w:rsidR="000A0C6E" w:rsidRPr="00FC3525" w:rsidRDefault="000A0C6E" w:rsidP="000A0C6E">
      <w:pPr>
        <w:rPr>
          <w:sz w:val="16"/>
          <w:szCs w:val="16"/>
        </w:rPr>
      </w:pPr>
      <w:r w:rsidRPr="00FC3525">
        <w:rPr>
          <w:sz w:val="16"/>
          <w:szCs w:val="16"/>
        </w:rPr>
        <w:t>3. The act constrained in connection with weapons in outer space is deployment. Research and development of such weapons are not limited by the pledge. It is arguable that to refrain from testing them is within the ambit of negative undertakings, because in order to test weapons in outer space they would be deployed in outer space first, unless testing is done in a simulated environment on Earth. "Deployment" in its legal meaning is similar to "placement".</w:t>
      </w:r>
    </w:p>
    <w:p w:rsidR="000A0C6E" w:rsidRPr="00FC3525" w:rsidRDefault="000A0C6E" w:rsidP="000A0C6E">
      <w:pPr>
        <w:rPr>
          <w:rStyle w:val="StyleUnderline"/>
        </w:rPr>
      </w:pPr>
      <w:r w:rsidRPr="00FC3525">
        <w:rPr>
          <w:sz w:val="16"/>
        </w:rPr>
        <w:t xml:space="preserve">Like the PPWT, the unilateral commitments suffer from the shortcomings of failing to address terrestrial-based ASATs and the possibility of building break-out capability by developing dual-use technologies. Furthermore, the conditional legal obligations can be discharged by revoking the declarations. However, </w:t>
      </w:r>
      <w:r w:rsidRPr="00FC3525">
        <w:rPr>
          <w:rStyle w:val="StyleUnderline"/>
        </w:rPr>
        <w:t>the contribution of these commitments to space security should not be underestimated, as they demonstrate states′ commitment to space security and their willingness to co-operate.</w:t>
      </w:r>
      <w:r w:rsidRPr="00FC3525">
        <w:rPr>
          <w:sz w:val="16"/>
        </w:rPr>
        <w:t xml:space="preserve"> For the </w:t>
      </w:r>
      <w:r w:rsidRPr="00FC3525">
        <w:rPr>
          <w:rStyle w:val="StyleUnderline"/>
        </w:rPr>
        <w:t>pledging states, they remain in control of their security interests by conditioning the self-imposed constraints on their expectation on other states′ similar undertakings</w:t>
      </w:r>
      <w:r w:rsidRPr="00FC3525">
        <w:rPr>
          <w:sz w:val="16"/>
        </w:rPr>
        <w:t xml:space="preserve">. For other states, </w:t>
      </w:r>
      <w:r w:rsidRPr="00FC3525">
        <w:rPr>
          <w:rStyle w:val="StyleUnderline"/>
        </w:rPr>
        <w:t>the commitments provide certainties in their perception of others</w:t>
      </w:r>
      <w:r w:rsidRPr="00FC3525">
        <w:rPr>
          <w:sz w:val="16"/>
        </w:rPr>
        <w:t xml:space="preserve">. With the lack of contractual obligations, the game of space arms control imitates the "prisoner′s dilemma", in the sense that states are likely to choose not to co-operate even if it appears that it is in their best interests to do so. 105Link to the text of the note </w:t>
      </w:r>
      <w:r w:rsidRPr="00FC3525">
        <w:rPr>
          <w:rStyle w:val="StyleUnderline"/>
        </w:rPr>
        <w:t>By fostering a positive atmosphere, the unilateral commitments help to dilute the mistrust between states.</w:t>
      </w:r>
    </w:p>
    <w:p w:rsidR="000A0C6E" w:rsidRDefault="000A0C6E" w:rsidP="000A0C6E"/>
    <w:p w:rsidR="005B6A47" w:rsidRDefault="005B6A47" w:rsidP="005B6A47">
      <w:pPr>
        <w:pStyle w:val="Heading4"/>
      </w:pPr>
      <w:r>
        <w:t>Solves better – U.S. actions reciprocated &amp; can go further alone than in negotiations</w:t>
      </w:r>
    </w:p>
    <w:p w:rsidR="00141955" w:rsidRPr="00C91530" w:rsidRDefault="00141955" w:rsidP="00141955">
      <w:r>
        <w:t xml:space="preserve">Michael </w:t>
      </w:r>
      <w:r w:rsidRPr="00C91530">
        <w:rPr>
          <w:rStyle w:val="Style13ptBold"/>
        </w:rPr>
        <w:t>O’Hanlon 11</w:t>
      </w:r>
      <w:r>
        <w:t xml:space="preserve">, Senior Fellow in Foreign Policy Studies at the Brookings Institution, 2011, “Balancing U.S. Security Interests in Space,” in Toward a Theory of Spacepower: Selected Essays, </w:t>
      </w:r>
      <w:hyperlink r:id="rId7" w:history="1">
        <w:r w:rsidRPr="00285713">
          <w:rPr>
            <w:rStyle w:val="Hyperlink"/>
          </w:rPr>
          <w:t>https://apps.dtic.mil/dtic/tr/fulltext/u2/a546585.pdf</w:t>
        </w:r>
      </w:hyperlink>
      <w:r>
        <w:t>, #tog **ADA Novice Packet 2019**</w:t>
      </w:r>
    </w:p>
    <w:p w:rsidR="005B6A47" w:rsidRPr="00141955" w:rsidRDefault="005B6A47" w:rsidP="000A0C6E">
      <w:pPr>
        <w:rPr>
          <w:sz w:val="16"/>
        </w:rPr>
      </w:pPr>
      <w:r w:rsidRPr="00141955">
        <w:rPr>
          <w:sz w:val="16"/>
        </w:rPr>
        <w:t xml:space="preserve">A final category of </w:t>
      </w:r>
      <w:r w:rsidRPr="00141955">
        <w:rPr>
          <w:rStyle w:val="StyleUnderline"/>
        </w:rPr>
        <w:t>measures would not involve arms control at all— in the formal sense of signed treaties and binding commitments—but rather unofficial and unilateral restraints. Such restraints would not force the United States to tie one hand behind its back and leave other countries free to develop space weapons; rather, by adopting the restraints and thereby setting a precedent and a tone, the United States would aim to encourage other countries to reciprocate</w:t>
      </w:r>
      <w:r w:rsidRPr="00141955">
        <w:rPr>
          <w:sz w:val="16"/>
        </w:rPr>
        <w:t xml:space="preserve">. To the extent others did not show restraint, the policy could be reconsidered. This approach has several precedents in international affairs. For example, during the first Bush administration, the United States reduced the alert levels of some nuclear forces and took tactical nuclear weapons off naval vessels in part to encourage similar Soviet actions, which followed.21 </w:t>
      </w:r>
      <w:r w:rsidRPr="00141955">
        <w:rPr>
          <w:rStyle w:val="StyleUnderline"/>
        </w:rPr>
        <w:t>This approach can work more quickly than formal arms control</w:t>
      </w:r>
      <w:r w:rsidRPr="00141955">
        <w:rPr>
          <w:sz w:val="16"/>
        </w:rPr>
        <w:t xml:space="preserve">; it </w:t>
      </w:r>
      <w:r w:rsidRPr="00141955">
        <w:rPr>
          <w:rStyle w:val="StyleUnderline"/>
        </w:rPr>
        <w:t>can also preserve flexibility</w:t>
      </w:r>
      <w:r w:rsidRPr="00141955">
        <w:rPr>
          <w:sz w:val="16"/>
        </w:rPr>
        <w:t xml:space="preserve"> should circumstances change. It is perhaps </w:t>
      </w:r>
      <w:r w:rsidRPr="00141955">
        <w:rPr>
          <w:rStyle w:val="StyleUnderline"/>
        </w:rPr>
        <w:t>most useful when it is not absolutely critical that all countries immediately comply w</w:t>
      </w:r>
      <w:r w:rsidRPr="00141955">
        <w:rPr>
          <w:sz w:val="16"/>
        </w:rPr>
        <w:t>ith a given set of rules or restraints. In other words, if the United States would have ample time to change its policy in the event that other countries failed to cooperate, without doing harm to its security interests in the interim, there is much to be said for this approach.</w:t>
      </w:r>
    </w:p>
    <w:p w:rsidR="005B6A47" w:rsidRPr="00141955" w:rsidRDefault="005B6A47" w:rsidP="000A0C6E">
      <w:pPr>
        <w:rPr>
          <w:sz w:val="16"/>
        </w:rPr>
      </w:pPr>
      <w:r w:rsidRPr="00141955">
        <w:rPr>
          <w:rStyle w:val="StyleUnderline"/>
        </w:rPr>
        <w:t>Since the United States is not presently building or deploying space weapons, informal restraint would presumably apply to research and development and testing activities</w:t>
      </w:r>
      <w:r w:rsidRPr="00141955">
        <w:rPr>
          <w:sz w:val="16"/>
        </w:rPr>
        <w:t xml:space="preserve">. As one example, if a treaty to accomplish this goal could not be quickly negotiated, the United States could make a unilateral pledge not to create space debris through testing of any ASAT.22 The flexibility associated with such a pledge might permit it to go further and also pledge not to produce any ASAT that would ever create debris, given that even if the United States needs a future ASAT, it would have alternative technological options. </w:t>
      </w:r>
    </w:p>
    <w:p w:rsidR="000A0C6E" w:rsidRDefault="005B6A47" w:rsidP="000A0C6E">
      <w:pPr>
        <w:rPr>
          <w:rStyle w:val="StyleUnderline"/>
        </w:rPr>
      </w:pPr>
      <w:r w:rsidRPr="00141955">
        <w:rPr>
          <w:rStyle w:val="StyleUnderline"/>
        </w:rPr>
        <w:t>The United States might also consider making a clear statement that it has no dedicated ASAT programs and no intention of initiating development or deployment of any</w:t>
      </w:r>
      <w:r w:rsidRPr="00141955">
        <w:rPr>
          <w:sz w:val="16"/>
        </w:rPr>
        <w:t xml:space="preserve">, if that is true. It </w:t>
      </w:r>
      <w:r w:rsidRPr="00141955">
        <w:rPr>
          <w:rStyle w:val="StyleUnderline"/>
        </w:rPr>
        <w:t>could</w:t>
      </w:r>
      <w:r w:rsidRPr="00141955">
        <w:rPr>
          <w:sz w:val="16"/>
        </w:rPr>
        <w:t xml:space="preserve"> also d</w:t>
      </w:r>
      <w:r w:rsidRPr="00141955">
        <w:rPr>
          <w:rStyle w:val="StyleUnderline"/>
        </w:rPr>
        <w:t>eclare that it will not test any systems,</w:t>
      </w:r>
      <w:r w:rsidRPr="00141955">
        <w:rPr>
          <w:sz w:val="16"/>
        </w:rPr>
        <w:t xml:space="preserve"> including high-powered lasers, microsatellites, and ballistic missile defenses, in an ASAT mode. </w:t>
      </w:r>
      <w:r w:rsidRPr="00141955">
        <w:rPr>
          <w:rStyle w:val="StyleUnderline"/>
        </w:rPr>
        <w:t xml:space="preserve">The latter approach would have the greatest chance of eliciting verifiable reciprocation by other countries. </w:t>
      </w:r>
    </w:p>
    <w:p w:rsidR="00141955" w:rsidRDefault="00141955" w:rsidP="000A0C6E">
      <w:pPr>
        <w:rPr>
          <w:rStyle w:val="StyleUnderline"/>
        </w:rPr>
      </w:pPr>
    </w:p>
    <w:p w:rsidR="00141955" w:rsidRDefault="00141955" w:rsidP="00141955">
      <w:pPr>
        <w:pStyle w:val="Heading4"/>
      </w:pPr>
      <w:r>
        <w:lastRenderedPageBreak/>
        <w:t>Plan won’t solve Chinese approach to ASAT Arms control is different –either China says no, or you get Chinese Arms control which doesn’t solve your advantages.</w:t>
      </w:r>
    </w:p>
    <w:p w:rsidR="00141955" w:rsidRPr="008C712A" w:rsidRDefault="00141955" w:rsidP="00141955">
      <w:r>
        <w:t xml:space="preserve">Brian </w:t>
      </w:r>
      <w:r w:rsidRPr="008C712A">
        <w:rPr>
          <w:rStyle w:val="Style13ptBold"/>
        </w:rPr>
        <w:t>Weeden and</w:t>
      </w:r>
      <w:r>
        <w:t xml:space="preserve"> Victoria </w:t>
      </w:r>
      <w:r w:rsidRPr="008C712A">
        <w:rPr>
          <w:rStyle w:val="Style13ptBold"/>
        </w:rPr>
        <w:t>Samson</w:t>
      </w:r>
      <w:r>
        <w:t>, 4/8/</w:t>
      </w:r>
      <w:r w:rsidRPr="008C712A">
        <w:rPr>
          <w:rStyle w:val="Style13ptBold"/>
        </w:rPr>
        <w:t>19</w:t>
      </w:r>
      <w:r>
        <w:t xml:space="preserve">, Brian Weeden is director of program planning at the Secure World Foundation, Victoria Samson is the Washington office director of the Secure World Foundation, “Op-ed | India’s ASAT test is wake-up call for norms of behavior in space”, Space News, </w:t>
      </w:r>
      <w:hyperlink r:id="rId8" w:history="1">
        <w:r w:rsidRPr="00CA4F6A">
          <w:rPr>
            <w:rStyle w:val="Hyperlink"/>
          </w:rPr>
          <w:t>https://spacenews.com/op-ed-indias-asat-test-is-wake-up-call-for-norms-of-behavior-in-space/</w:t>
        </w:r>
      </w:hyperlink>
      <w:r>
        <w:t xml:space="preserve"> accessed 9/16/19 #tog </w:t>
      </w:r>
      <w:r w:rsidR="00137459">
        <w:t>**ADA Novice Packet 2019**</w:t>
      </w:r>
    </w:p>
    <w:p w:rsidR="00141955" w:rsidRDefault="00141955" w:rsidP="00141955">
      <w:r>
        <w:t xml:space="preserve">A big obstacle to progress is that </w:t>
      </w:r>
      <w:r w:rsidRPr="008C712A">
        <w:rPr>
          <w:rStyle w:val="StyleUnderline"/>
        </w:rPr>
        <w:t>there is a fundamental difference in approach toward space security and stability between the U.S.</w:t>
      </w:r>
      <w:r>
        <w:t xml:space="preserve"> and its allies on the one hand </w:t>
      </w:r>
      <w:r w:rsidRPr="008C712A">
        <w:rPr>
          <w:rStyle w:val="StyleUnderline"/>
        </w:rPr>
        <w:t>and</w:t>
      </w:r>
      <w:r>
        <w:t xml:space="preserve"> Russia, </w:t>
      </w:r>
      <w:r w:rsidRPr="008C712A">
        <w:rPr>
          <w:rStyle w:val="StyleUnderline"/>
        </w:rPr>
        <w:t>China</w:t>
      </w:r>
      <w:r>
        <w:t xml:space="preserve">, India, </w:t>
      </w:r>
      <w:r w:rsidRPr="008C712A">
        <w:rPr>
          <w:rStyle w:val="StyleUnderline"/>
        </w:rPr>
        <w:t>and most of the rest of the world</w:t>
      </w:r>
      <w:r>
        <w:t xml:space="preserve"> on the other. The </w:t>
      </w:r>
      <w:r w:rsidRPr="008C712A">
        <w:rPr>
          <w:rStyle w:val="StyleUnderline"/>
        </w:rPr>
        <w:t xml:space="preserve">U.S. and </w:t>
      </w:r>
      <w:r>
        <w:t xml:space="preserve">its </w:t>
      </w:r>
      <w:r w:rsidRPr="008C712A">
        <w:rPr>
          <w:rStyle w:val="StyleUnderline"/>
        </w:rPr>
        <w:t>allies argue for the need to regulate/modify behavior on orbit, pointing out that due to the dual-use nature of space technology, it does not make sense to try to limit hardware. By contrast</w:t>
      </w:r>
      <w:r>
        <w:t xml:space="preserve">, Russia, </w:t>
      </w:r>
      <w:r w:rsidRPr="008C712A">
        <w:rPr>
          <w:rStyle w:val="StyleUnderline"/>
        </w:rPr>
        <w:t>China</w:t>
      </w:r>
      <w:r>
        <w:t xml:space="preserve">, and India </w:t>
      </w:r>
      <w:r w:rsidRPr="008C712A">
        <w:rPr>
          <w:rStyle w:val="StyleUnderline"/>
        </w:rPr>
        <w:t>argue for a</w:t>
      </w:r>
      <w:r>
        <w:t xml:space="preserve"> more classic arms </w:t>
      </w:r>
      <w:r w:rsidRPr="008C712A">
        <w:rPr>
          <w:rStyle w:val="StyleUnderline"/>
        </w:rPr>
        <w:t>control approach that focuses on banning</w:t>
      </w:r>
      <w:r>
        <w:t xml:space="preserve"> technology or </w:t>
      </w:r>
      <w:r w:rsidRPr="008C712A">
        <w:rPr>
          <w:rStyle w:val="StyleUnderline"/>
        </w:rPr>
        <w:t>hardware in space</w:t>
      </w:r>
      <w:r>
        <w:t xml:space="preserve"> </w:t>
      </w:r>
      <w:r w:rsidRPr="008C712A">
        <w:rPr>
          <w:rStyle w:val="StyleUnderline"/>
        </w:rPr>
        <w:t>and excludes ground-based ASAT weapons</w:t>
      </w:r>
      <w:r>
        <w:t>.</w:t>
      </w:r>
    </w:p>
    <w:p w:rsidR="00141955" w:rsidRDefault="00141955" w:rsidP="00141955"/>
    <w:p w:rsidR="00141955" w:rsidRDefault="00141955" w:rsidP="00141955">
      <w:pPr>
        <w:pStyle w:val="Heading4"/>
      </w:pPr>
      <w:r>
        <w:t>Turn – Perm is an attempt at arms control that fails followed by CP; failed arms control negotiations always hurt relations and undermine future negotiations; only doing solely unilateral avoids</w:t>
      </w:r>
    </w:p>
    <w:p w:rsidR="00141955" w:rsidRPr="00132A01" w:rsidRDefault="00141955" w:rsidP="00141955">
      <w:r>
        <w:t xml:space="preserve">Alexey </w:t>
      </w:r>
      <w:r w:rsidRPr="001D09F3">
        <w:rPr>
          <w:rStyle w:val="Style13ptBold"/>
        </w:rPr>
        <w:t>Arbatov (2019</w:t>
      </w:r>
      <w:r w:rsidRPr="001D09F3">
        <w:t>) PhD is a full member of the Russian Academy of Sciences, the Head of the Center for International Security at the Institute of World Economy and International Relations, and a scholar in residence at the Carnegie Moscow Center. Mad Momentum Redu</w:t>
      </w:r>
      <w:r>
        <w:t>x? The Rise and Fall of Nuclear Arms Control, Survival, 61:3, 7-38, DOI: 10.1080/00396338.2019.1614785</w:t>
      </w:r>
      <w:r w:rsidR="00137459">
        <w:t xml:space="preserve"> #tog **ADA Novice Packet 2019**</w:t>
      </w:r>
    </w:p>
    <w:p w:rsidR="00141955" w:rsidRDefault="00141955" w:rsidP="00141955">
      <w:pPr>
        <w:rPr>
          <w:rStyle w:val="StyleUnderline"/>
        </w:rPr>
      </w:pPr>
      <w:r w:rsidRPr="00132A01">
        <w:rPr>
          <w:rStyle w:val="StyleUnderline"/>
        </w:rPr>
        <w:t>Conversely, the breakdown of arms-control negotiations or refusal to ratify agreements has always damaged security and never helped resolve other international problems</w:t>
      </w:r>
      <w:r>
        <w:t xml:space="preserve">. </w:t>
      </w:r>
      <w:r w:rsidRPr="00132A01">
        <w:rPr>
          <w:rStyle w:val="StyleUnderline"/>
        </w:rPr>
        <w:t>Washington’s rejection of SALT II</w:t>
      </w:r>
      <w:r>
        <w:t xml:space="preserve"> ratification due to the Soviet invasion of Afghanistan in 1979 hindered strategic arms control, and in no way facilitated peace in Afghanistan or great-power cooperation on international security. Likewise, the </w:t>
      </w:r>
      <w:r w:rsidRPr="00132A01">
        <w:rPr>
          <w:rStyle w:val="StyleUnderline"/>
        </w:rPr>
        <w:t>Russian political elite’s indignation over NATO expansion</w:t>
      </w:r>
      <w:r>
        <w:t xml:space="preserve"> and the use of force in Yugoslavia prevented timely ratification of START II and the conclusion of the treaty on the basis of the START III Framework Agreement of 1997. </w:t>
      </w:r>
      <w:r w:rsidRPr="00132A01">
        <w:rPr>
          <w:rStyle w:val="StyleUnderline"/>
        </w:rPr>
        <w:t>This was counterproductive for arms control and did not alleviate mutual grievances</w:t>
      </w:r>
      <w:r>
        <w:t xml:space="preserve"> and mistrust in NATO– Russia relations. Finally, Moscow’s refusal to start negotiations on the START follow-on after 2012 </w:t>
      </w:r>
      <w:r w:rsidRPr="00132A01">
        <w:rPr>
          <w:rStyle w:val="StyleUnderline"/>
        </w:rPr>
        <w:t>contributed to the ensuing crisis of arms control and to new strategic tensions between Russia and the West.</w:t>
      </w:r>
    </w:p>
    <w:p w:rsidR="00141955" w:rsidRDefault="00141955" w:rsidP="00141955"/>
    <w:p w:rsidR="00141955" w:rsidRPr="00141955" w:rsidRDefault="00141955" w:rsidP="000A0C6E">
      <w:pPr>
        <w:rPr>
          <w:rStyle w:val="StyleUnderline"/>
        </w:rPr>
      </w:pPr>
    </w:p>
    <w:sectPr w:rsidR="00141955" w:rsidRPr="001419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437679032"/>
    <w:docVar w:name="VerbatimVersion" w:val="5.1"/>
  </w:docVars>
  <w:rsids>
    <w:rsidRoot w:val="000A0C6E"/>
    <w:rsid w:val="000139A3"/>
    <w:rsid w:val="00022DD7"/>
    <w:rsid w:val="000A0C6E"/>
    <w:rsid w:val="00100833"/>
    <w:rsid w:val="00104529"/>
    <w:rsid w:val="00105942"/>
    <w:rsid w:val="00107396"/>
    <w:rsid w:val="00137459"/>
    <w:rsid w:val="00141955"/>
    <w:rsid w:val="00144A4C"/>
    <w:rsid w:val="00176AB0"/>
    <w:rsid w:val="00177B7D"/>
    <w:rsid w:val="0018322D"/>
    <w:rsid w:val="001B5776"/>
    <w:rsid w:val="001E527A"/>
    <w:rsid w:val="001F78CE"/>
    <w:rsid w:val="002054BA"/>
    <w:rsid w:val="00251FC7"/>
    <w:rsid w:val="002855A7"/>
    <w:rsid w:val="002B146A"/>
    <w:rsid w:val="002B5E17"/>
    <w:rsid w:val="00315690"/>
    <w:rsid w:val="00316B75"/>
    <w:rsid w:val="00325646"/>
    <w:rsid w:val="003460F2"/>
    <w:rsid w:val="0038158C"/>
    <w:rsid w:val="003902BA"/>
    <w:rsid w:val="003A09E2"/>
    <w:rsid w:val="00407037"/>
    <w:rsid w:val="004605D6"/>
    <w:rsid w:val="004C60E8"/>
    <w:rsid w:val="004E3579"/>
    <w:rsid w:val="004E728B"/>
    <w:rsid w:val="004F39E0"/>
    <w:rsid w:val="00537BD5"/>
    <w:rsid w:val="0057268A"/>
    <w:rsid w:val="005B6A47"/>
    <w:rsid w:val="005D2912"/>
    <w:rsid w:val="006065BD"/>
    <w:rsid w:val="00645FA9"/>
    <w:rsid w:val="00647866"/>
    <w:rsid w:val="00665003"/>
    <w:rsid w:val="006A2AD0"/>
    <w:rsid w:val="006C2375"/>
    <w:rsid w:val="006D4ECC"/>
    <w:rsid w:val="00722258"/>
    <w:rsid w:val="007243E5"/>
    <w:rsid w:val="00766EA0"/>
    <w:rsid w:val="007A2226"/>
    <w:rsid w:val="007E5EE3"/>
    <w:rsid w:val="007F5B66"/>
    <w:rsid w:val="00823A1C"/>
    <w:rsid w:val="00845B9D"/>
    <w:rsid w:val="00860984"/>
    <w:rsid w:val="008B3ECB"/>
    <w:rsid w:val="008B4E85"/>
    <w:rsid w:val="008C1B2E"/>
    <w:rsid w:val="0091627E"/>
    <w:rsid w:val="0097032B"/>
    <w:rsid w:val="009D2EAD"/>
    <w:rsid w:val="009D54B2"/>
    <w:rsid w:val="009E1922"/>
    <w:rsid w:val="009F7ED2"/>
    <w:rsid w:val="00A93661"/>
    <w:rsid w:val="00A95652"/>
    <w:rsid w:val="00AC0AB8"/>
    <w:rsid w:val="00AD66FB"/>
    <w:rsid w:val="00B33C6D"/>
    <w:rsid w:val="00B4508F"/>
    <w:rsid w:val="00B55AD5"/>
    <w:rsid w:val="00B8057C"/>
    <w:rsid w:val="00BD6238"/>
    <w:rsid w:val="00BF593B"/>
    <w:rsid w:val="00BF773A"/>
    <w:rsid w:val="00BF7E81"/>
    <w:rsid w:val="00C13773"/>
    <w:rsid w:val="00C17CC8"/>
    <w:rsid w:val="00C62FB4"/>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5262C"/>
    <w:rsid w:val="00EC7DC4"/>
    <w:rsid w:val="00ED30CF"/>
    <w:rsid w:val="00F176EF"/>
    <w:rsid w:val="00F45E10"/>
    <w:rsid w:val="00F6364A"/>
    <w:rsid w:val="00F9113A"/>
    <w:rsid w:val="00FC3525"/>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0A5EE"/>
  <w15:chartTrackingRefBased/>
  <w15:docId w15:val="{EE4F2548-0968-4AE0-B289-C73B9E1CF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022DD7"/>
    <w:pPr>
      <w:spacing w:after="0" w:line="240" w:lineRule="auto"/>
    </w:pPr>
    <w:rPr>
      <w:rFonts w:ascii="Arial" w:hAnsi="Arial" w:cs="Arial"/>
      <w:sz w:val="18"/>
    </w:rPr>
  </w:style>
  <w:style w:type="paragraph" w:styleId="Heading1">
    <w:name w:val="heading 1"/>
    <w:aliases w:val="Pocket"/>
    <w:basedOn w:val="Normal"/>
    <w:next w:val="Normal"/>
    <w:link w:val="Heading1Char"/>
    <w:rsid w:val="00022DD7"/>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022DD7"/>
    <w:pPr>
      <w:keepNext/>
      <w:keepLines/>
      <w:pageBreakBefore/>
      <w:jc w:val="center"/>
      <w:outlineLvl w:val="1"/>
    </w:pPr>
    <w:rPr>
      <w:rFonts w:eastAsiaTheme="majorEastAsia" w:cstheme="majorBidi"/>
      <w:b/>
      <w:sz w:val="34"/>
      <w:szCs w:val="26"/>
      <w:u w:val="double"/>
    </w:rPr>
  </w:style>
  <w:style w:type="paragraph" w:styleId="Heading3">
    <w:name w:val="heading 3"/>
    <w:aliases w:val="Block"/>
    <w:basedOn w:val="Normal"/>
    <w:next w:val="Normal"/>
    <w:link w:val="Heading3Char"/>
    <w:uiPriority w:val="2"/>
    <w:unhideWhenUsed/>
    <w:qFormat/>
    <w:rsid w:val="00022DD7"/>
    <w:pPr>
      <w:keepNext/>
      <w:keepLines/>
      <w:pageBreakBefore/>
      <w:jc w:val="center"/>
      <w:outlineLvl w:val="2"/>
    </w:pPr>
    <w:rPr>
      <w:rFonts w:eastAsiaTheme="majorEastAsia" w:cstheme="majorBidi"/>
      <w:b/>
      <w:sz w:val="28"/>
      <w:szCs w:val="24"/>
      <w:u w:val="single"/>
    </w:rPr>
  </w:style>
  <w:style w:type="paragraph" w:styleId="Heading4">
    <w:name w:val="heading 4"/>
    <w:aliases w:val="Tag,Big card,Normal Tag,heading 2, Ch,Ch,No Spacing1121,no read,No Spacing211,No Spacing12,No Spacing2111,No Spacing111111,t,T,Ta,body,small text,Heading 2 Char2 Char,Heading 2 Char1 Char Char,small space,nonunderlined,TAG,No Spacing4,tag,ta,C"/>
    <w:basedOn w:val="Normal"/>
    <w:next w:val="Normal"/>
    <w:link w:val="Heading4Char"/>
    <w:uiPriority w:val="3"/>
    <w:unhideWhenUsed/>
    <w:qFormat/>
    <w:rsid w:val="00022DD7"/>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022DD7"/>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022DD7"/>
  </w:style>
  <w:style w:type="character" w:customStyle="1" w:styleId="Heading1Char">
    <w:name w:val="Heading 1 Char"/>
    <w:aliases w:val="Pocket Char"/>
    <w:basedOn w:val="DefaultParagraphFont"/>
    <w:link w:val="Heading1"/>
    <w:rsid w:val="00022DD7"/>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022DD7"/>
    <w:rPr>
      <w:rFonts w:ascii="Arial" w:eastAsiaTheme="majorEastAsia" w:hAnsi="Arial" w:cstheme="majorBidi"/>
      <w:b/>
      <w:sz w:val="34"/>
      <w:szCs w:val="26"/>
      <w:u w:val="double"/>
    </w:rPr>
  </w:style>
  <w:style w:type="character" w:customStyle="1" w:styleId="Heading3Char">
    <w:name w:val="Heading 3 Char"/>
    <w:aliases w:val="Block Char"/>
    <w:basedOn w:val="DefaultParagraphFont"/>
    <w:link w:val="Heading3"/>
    <w:uiPriority w:val="2"/>
    <w:rsid w:val="00022DD7"/>
    <w:rPr>
      <w:rFonts w:ascii="Arial" w:eastAsiaTheme="majorEastAsia" w:hAnsi="Arial" w:cstheme="majorBidi"/>
      <w:b/>
      <w:sz w:val="28"/>
      <w:szCs w:val="24"/>
      <w:u w:val="single"/>
    </w:rPr>
  </w:style>
  <w:style w:type="character" w:customStyle="1" w:styleId="Heading4Char">
    <w:name w:val="Heading 4 Char"/>
    <w:aliases w:val="Tag Char,Big card Char,Normal Tag Char,heading 2 Char, Ch Char,Ch Char,No Spacing1121 Char,no read Char,No Spacing211 Char,No Spacing12 Char,No Spacing2111 Char,No Spacing111111 Char,t Char,T Char,Ta Char,body Char,small text Char,ta Char"/>
    <w:basedOn w:val="DefaultParagraphFont"/>
    <w:link w:val="Heading4"/>
    <w:uiPriority w:val="3"/>
    <w:rsid w:val="00022DD7"/>
    <w:rPr>
      <w:rFonts w:ascii="Arial" w:eastAsiaTheme="majorEastAsia" w:hAnsi="Arial" w:cstheme="majorBidi"/>
      <w:b/>
      <w:iCs/>
      <w:sz w:val="24"/>
    </w:rPr>
  </w:style>
  <w:style w:type="character" w:styleId="Emphasis">
    <w:name w:val="Emphasis"/>
    <w:basedOn w:val="DefaultParagraphFont"/>
    <w:uiPriority w:val="7"/>
    <w:qFormat/>
    <w:rsid w:val="00022DD7"/>
    <w:rPr>
      <w:rFonts w:ascii="Arial" w:hAnsi="Arial" w:cs="Arial"/>
      <w:b/>
      <w:i w:val="0"/>
      <w:iCs/>
      <w:sz w:val="22"/>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Style Style Bold + 13 pt,tagld + 12 pt,Style Style Bold + 11 pt,tag + 12 pt,Not...,Not.,Not"/>
    <w:basedOn w:val="DefaultParagraphFont"/>
    <w:uiPriority w:val="5"/>
    <w:qFormat/>
    <w:rsid w:val="00022DD7"/>
    <w:rPr>
      <w:b/>
      <w:bCs/>
      <w:sz w:val="24"/>
      <w:u w:val="single"/>
    </w:rPr>
  </w:style>
  <w:style w:type="character" w:customStyle="1" w:styleId="StyleUnderline">
    <w:name w:val="Style Underline"/>
    <w:aliases w:val="Underline,Style Bold Underline,Intense Emphasis1,apple-style-span + 6 pt,Kern at 16 pt,Bold,Intense Emphasis11,Intense Emphasis2,HHeading 3 + 12 pt,Cards + Font: 12 pt Char,Style,Citation Char Char Char,Heading 3 Char1 Char Char Char,ci"/>
    <w:basedOn w:val="DefaultParagraphFont"/>
    <w:uiPriority w:val="6"/>
    <w:qFormat/>
    <w:rsid w:val="00022DD7"/>
    <w:rPr>
      <w:b/>
      <w:sz w:val="22"/>
      <w:u w:val="single"/>
    </w:rPr>
  </w:style>
  <w:style w:type="character" w:styleId="Hyperlink">
    <w:name w:val="Hyperlink"/>
    <w:aliases w:val="heading 1 (block title),Important,Read,Card Text,Internet Link,Analytic Text,Internet link,Underline Char Char Char Char1,Heading 3 Char Char Char Char Char Char Char Char Char Char1,Char Char1,Heading 1 Char1,Pocket Char1,F2 - Heading 1 Char1"/>
    <w:basedOn w:val="DefaultParagraphFont"/>
    <w:uiPriority w:val="99"/>
    <w:unhideWhenUsed/>
    <w:rsid w:val="00022DD7"/>
    <w:rPr>
      <w:color w:val="auto"/>
      <w:u w:val="none"/>
    </w:rPr>
  </w:style>
  <w:style w:type="character" w:styleId="FollowedHyperlink">
    <w:name w:val="FollowedHyperlink"/>
    <w:basedOn w:val="DefaultParagraphFont"/>
    <w:uiPriority w:val="99"/>
    <w:semiHidden/>
    <w:unhideWhenUsed/>
    <w:rsid w:val="00022DD7"/>
    <w:rPr>
      <w:color w:val="auto"/>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pacenews.com/op-ed-indias-asat-test-is-wake-up-call-for-norms-of-behavior-in-space/" TargetMode="External"/><Relationship Id="rId3" Type="http://schemas.openxmlformats.org/officeDocument/2006/relationships/styles" Target="styles.xml"/><Relationship Id="rId7" Type="http://schemas.openxmlformats.org/officeDocument/2006/relationships/hyperlink" Target="https://apps.dtic.mil/dtic/tr/fulltext/u2/a546585.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brookings.edu/wp-content/uploads/2018/06/FP_20180614_safeguarding_the_heavens.pdf"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Desktop\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E30C9A-C80B-46DC-B2A3-7ABA22AFA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0</TotalTime>
  <Pages>6</Pages>
  <Words>3897</Words>
  <Characters>22218</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O'Gorman, Thomas F.</dc:creator>
  <cp:keywords>5.1.1</cp:keywords>
  <dc:description/>
  <cp:lastModifiedBy>David Cram Helwich</cp:lastModifiedBy>
  <cp:revision>2</cp:revision>
  <dcterms:created xsi:type="dcterms:W3CDTF">2019-09-24T01:43:00Z</dcterms:created>
  <dcterms:modified xsi:type="dcterms:W3CDTF">2019-09-24T01:43:00Z</dcterms:modified>
</cp:coreProperties>
</file>